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C3" w:rsidRDefault="00C938C3" w:rsidP="000723B8">
      <w:pPr>
        <w:spacing w:line="360" w:lineRule="auto"/>
        <w:rPr>
          <w:rFonts w:ascii="Verdana" w:hAnsi="Verdana"/>
          <w:b/>
          <w:sz w:val="56"/>
          <w:szCs w:val="56"/>
        </w:rPr>
      </w:pPr>
    </w:p>
    <w:p w:rsidR="00236524" w:rsidRPr="00C938C3" w:rsidRDefault="00C938C3" w:rsidP="00C938C3">
      <w:pPr>
        <w:spacing w:line="360" w:lineRule="auto"/>
        <w:jc w:val="center"/>
        <w:rPr>
          <w:rFonts w:ascii="Verdana" w:hAnsi="Verdana"/>
          <w:b/>
          <w:sz w:val="56"/>
          <w:szCs w:val="56"/>
        </w:rPr>
      </w:pPr>
      <w:r w:rsidRPr="00C938C3">
        <w:rPr>
          <w:rFonts w:ascii="Verdana" w:hAnsi="Verdana"/>
          <w:b/>
          <w:sz w:val="56"/>
          <w:szCs w:val="56"/>
        </w:rPr>
        <w:t>Stellungnahme der FDP-Stadtratsfraktion zum</w:t>
      </w:r>
    </w:p>
    <w:p w:rsidR="00C938C3" w:rsidRPr="00C938C3" w:rsidRDefault="00C938C3" w:rsidP="00C938C3">
      <w:pPr>
        <w:spacing w:line="360" w:lineRule="auto"/>
        <w:jc w:val="center"/>
        <w:rPr>
          <w:rFonts w:ascii="Verdana" w:hAnsi="Verdana"/>
          <w:b/>
          <w:sz w:val="56"/>
          <w:szCs w:val="56"/>
        </w:rPr>
      </w:pPr>
      <w:r w:rsidRPr="00C938C3">
        <w:rPr>
          <w:rFonts w:ascii="Verdana" w:hAnsi="Verdana"/>
          <w:b/>
          <w:sz w:val="56"/>
          <w:szCs w:val="56"/>
        </w:rPr>
        <w:t>Haushaltsplanentwurf der Stadt Krefeld 2021</w:t>
      </w:r>
    </w:p>
    <w:p w:rsidR="00C938C3" w:rsidRPr="00C938C3" w:rsidRDefault="00C938C3" w:rsidP="00C938C3">
      <w:pPr>
        <w:spacing w:line="360" w:lineRule="auto"/>
        <w:jc w:val="center"/>
        <w:rPr>
          <w:rFonts w:ascii="Verdana" w:hAnsi="Verdana"/>
          <w:b/>
          <w:sz w:val="56"/>
          <w:szCs w:val="56"/>
        </w:rPr>
      </w:pPr>
      <w:r w:rsidRPr="00C938C3">
        <w:rPr>
          <w:rFonts w:ascii="Verdana" w:hAnsi="Verdana"/>
          <w:b/>
          <w:sz w:val="56"/>
          <w:szCs w:val="56"/>
        </w:rPr>
        <w:t>Krefeld, im Februar 2021</w:t>
      </w:r>
    </w:p>
    <w:p w:rsidR="00B732F3" w:rsidRDefault="00B732F3" w:rsidP="002A48C2">
      <w:pPr>
        <w:spacing w:line="360" w:lineRule="auto"/>
        <w:jc w:val="center"/>
        <w:rPr>
          <w:rFonts w:ascii="Verdana" w:hAnsi="Verdana"/>
          <w:b/>
          <w:sz w:val="56"/>
          <w:szCs w:val="56"/>
        </w:rPr>
      </w:pPr>
    </w:p>
    <w:p w:rsidR="00B732F3" w:rsidRDefault="00B732F3" w:rsidP="002A48C2">
      <w:pPr>
        <w:spacing w:line="360" w:lineRule="auto"/>
        <w:jc w:val="center"/>
        <w:rPr>
          <w:rFonts w:ascii="Verdana" w:hAnsi="Verdana"/>
          <w:b/>
          <w:sz w:val="56"/>
          <w:szCs w:val="56"/>
        </w:rPr>
      </w:pPr>
    </w:p>
    <w:p w:rsidR="00B732F3" w:rsidRDefault="00B732F3" w:rsidP="002A48C2">
      <w:pPr>
        <w:spacing w:line="360" w:lineRule="auto"/>
        <w:jc w:val="center"/>
        <w:rPr>
          <w:rFonts w:ascii="Verdana" w:hAnsi="Verdana"/>
          <w:b/>
          <w:sz w:val="56"/>
          <w:szCs w:val="56"/>
        </w:rPr>
      </w:pPr>
    </w:p>
    <w:p w:rsidR="00B732F3" w:rsidRDefault="00B732F3" w:rsidP="002A48C2">
      <w:pPr>
        <w:spacing w:line="360" w:lineRule="auto"/>
        <w:jc w:val="center"/>
        <w:rPr>
          <w:rFonts w:ascii="Verdana" w:hAnsi="Verdana"/>
          <w:b/>
          <w:sz w:val="56"/>
          <w:szCs w:val="56"/>
        </w:rPr>
      </w:pPr>
    </w:p>
    <w:p w:rsidR="00B732F3" w:rsidRDefault="00B732F3" w:rsidP="002A48C2">
      <w:pPr>
        <w:spacing w:line="360" w:lineRule="auto"/>
        <w:jc w:val="center"/>
        <w:rPr>
          <w:rFonts w:ascii="Verdana" w:hAnsi="Verdana"/>
          <w:b/>
          <w:sz w:val="56"/>
          <w:szCs w:val="56"/>
        </w:rPr>
      </w:pPr>
    </w:p>
    <w:p w:rsidR="002A48C2" w:rsidRPr="00A33FD6" w:rsidRDefault="002A48C2" w:rsidP="002A48C2">
      <w:pPr>
        <w:spacing w:line="360" w:lineRule="auto"/>
        <w:jc w:val="center"/>
        <w:rPr>
          <w:rFonts w:ascii="Verdana" w:hAnsi="Verdana"/>
          <w:sz w:val="24"/>
          <w:szCs w:val="24"/>
          <w:u w:val="single"/>
        </w:rPr>
      </w:pPr>
      <w:r>
        <w:rPr>
          <w:rFonts w:ascii="Verdana" w:hAnsi="Verdana"/>
          <w:b/>
          <w:sz w:val="24"/>
          <w:szCs w:val="24"/>
          <w:u w:val="single"/>
        </w:rPr>
        <w:t>Übersicht</w:t>
      </w:r>
    </w:p>
    <w:p w:rsidR="002A48C2" w:rsidRDefault="002A48C2" w:rsidP="002A48C2">
      <w:pPr>
        <w:spacing w:line="360" w:lineRule="auto"/>
        <w:jc w:val="center"/>
        <w:rPr>
          <w:rFonts w:ascii="Verdana" w:hAnsi="Verdana"/>
          <w:b/>
          <w:sz w:val="24"/>
          <w:szCs w:val="24"/>
          <w:u w:val="single"/>
        </w:rPr>
      </w:pPr>
    </w:p>
    <w:p w:rsidR="002A48C2" w:rsidRDefault="002A48C2" w:rsidP="002A48C2">
      <w:pPr>
        <w:spacing w:line="360" w:lineRule="auto"/>
        <w:jc w:val="both"/>
        <w:rPr>
          <w:rFonts w:ascii="Verdana" w:hAnsi="Verdana"/>
          <w:sz w:val="24"/>
          <w:szCs w:val="24"/>
        </w:rPr>
      </w:pPr>
      <w:r w:rsidRPr="00A33FD6">
        <w:rPr>
          <w:rFonts w:ascii="Verdana" w:hAnsi="Verdana"/>
          <w:b/>
          <w:sz w:val="24"/>
          <w:szCs w:val="24"/>
        </w:rPr>
        <w:t>I. Die zumindest publizistisch verwirrende Ausgangslage</w:t>
      </w:r>
      <w:r>
        <w:rPr>
          <w:rFonts w:ascii="Verdana" w:hAnsi="Verdana"/>
          <w:sz w:val="24"/>
          <w:szCs w:val="24"/>
        </w:rPr>
        <w:t>, siehe 1.</w:t>
      </w:r>
    </w:p>
    <w:p w:rsidR="002A48C2" w:rsidRDefault="002A48C2" w:rsidP="002A48C2">
      <w:pPr>
        <w:spacing w:line="360" w:lineRule="auto"/>
        <w:jc w:val="both"/>
        <w:rPr>
          <w:rFonts w:ascii="Verdana" w:hAnsi="Verdana"/>
          <w:sz w:val="24"/>
          <w:szCs w:val="24"/>
        </w:rPr>
      </w:pPr>
    </w:p>
    <w:p w:rsidR="002A48C2" w:rsidRDefault="002A48C2" w:rsidP="002A48C2">
      <w:pPr>
        <w:spacing w:line="360" w:lineRule="auto"/>
        <w:jc w:val="both"/>
        <w:rPr>
          <w:rFonts w:ascii="Verdana" w:hAnsi="Verdana"/>
          <w:sz w:val="24"/>
          <w:szCs w:val="24"/>
        </w:rPr>
      </w:pPr>
      <w:r>
        <w:rPr>
          <w:rFonts w:ascii="Verdana" w:hAnsi="Verdana"/>
          <w:sz w:val="24"/>
          <w:szCs w:val="24"/>
        </w:rPr>
        <w:t xml:space="preserve">II. </w:t>
      </w:r>
      <w:r w:rsidRPr="00A33FD6">
        <w:rPr>
          <w:rFonts w:ascii="Verdana" w:hAnsi="Verdana"/>
          <w:b/>
          <w:sz w:val="24"/>
          <w:szCs w:val="24"/>
        </w:rPr>
        <w:t xml:space="preserve">Das magische Dreieck: </w:t>
      </w:r>
      <w:proofErr w:type="spellStart"/>
      <w:r w:rsidRPr="00A33FD6">
        <w:rPr>
          <w:rFonts w:ascii="Verdana" w:hAnsi="Verdana"/>
          <w:b/>
          <w:sz w:val="24"/>
          <w:szCs w:val="24"/>
        </w:rPr>
        <w:t>Coronabedingte</w:t>
      </w:r>
      <w:proofErr w:type="spellEnd"/>
      <w:r w:rsidRPr="00A33FD6">
        <w:rPr>
          <w:rFonts w:ascii="Verdana" w:hAnsi="Verdana"/>
          <w:b/>
          <w:sz w:val="24"/>
          <w:szCs w:val="24"/>
        </w:rPr>
        <w:t xml:space="preserve"> Haushaltsbelastungen, Bilanzierungshilfe und Liquidität,</w:t>
      </w:r>
      <w:r>
        <w:rPr>
          <w:rFonts w:ascii="Verdana" w:hAnsi="Verdana"/>
          <w:sz w:val="24"/>
          <w:szCs w:val="24"/>
        </w:rPr>
        <w:t xml:space="preserve"> siehe 2</w:t>
      </w:r>
      <w:r w:rsidR="00B732F3">
        <w:rPr>
          <w:rFonts w:ascii="Verdana" w:hAnsi="Verdana"/>
          <w:sz w:val="24"/>
          <w:szCs w:val="24"/>
        </w:rPr>
        <w:t>.</w:t>
      </w:r>
      <w:r>
        <w:rPr>
          <w:rFonts w:ascii="Verdana" w:hAnsi="Verdana"/>
          <w:sz w:val="24"/>
          <w:szCs w:val="24"/>
        </w:rPr>
        <w:t xml:space="preserve"> – 5</w:t>
      </w:r>
      <w:r w:rsidR="00B732F3">
        <w:rPr>
          <w:rFonts w:ascii="Verdana" w:hAnsi="Verdana"/>
          <w:sz w:val="24"/>
          <w:szCs w:val="24"/>
        </w:rPr>
        <w:t>.</w:t>
      </w:r>
    </w:p>
    <w:p w:rsidR="002A48C2" w:rsidRDefault="002A48C2" w:rsidP="002A48C2">
      <w:pPr>
        <w:spacing w:line="360" w:lineRule="auto"/>
        <w:jc w:val="both"/>
        <w:rPr>
          <w:rFonts w:ascii="Verdana" w:hAnsi="Verdana"/>
          <w:sz w:val="24"/>
          <w:szCs w:val="24"/>
        </w:rPr>
      </w:pPr>
    </w:p>
    <w:p w:rsidR="002A48C2" w:rsidRDefault="002A48C2" w:rsidP="002A48C2">
      <w:pPr>
        <w:spacing w:line="360" w:lineRule="auto"/>
        <w:jc w:val="both"/>
        <w:rPr>
          <w:rFonts w:ascii="Verdana" w:hAnsi="Verdana"/>
          <w:sz w:val="24"/>
          <w:szCs w:val="24"/>
        </w:rPr>
      </w:pPr>
      <w:r w:rsidRPr="00A33FD6">
        <w:rPr>
          <w:rFonts w:ascii="Verdana" w:hAnsi="Verdana"/>
          <w:b/>
          <w:sz w:val="24"/>
          <w:szCs w:val="24"/>
        </w:rPr>
        <w:t xml:space="preserve">III. Gewerbesteuer, Transferaufwendungen, Zuschüsse an verbundene Unternehmen </w:t>
      </w:r>
      <w:r w:rsidR="0047681E">
        <w:rPr>
          <w:rFonts w:ascii="Verdana" w:hAnsi="Verdana"/>
          <w:b/>
          <w:sz w:val="24"/>
          <w:szCs w:val="24"/>
        </w:rPr>
        <w:t xml:space="preserve">und Personalaufwendungen </w:t>
      </w:r>
      <w:r w:rsidRPr="00A33FD6">
        <w:rPr>
          <w:rFonts w:ascii="Verdana" w:hAnsi="Verdana"/>
          <w:b/>
          <w:sz w:val="24"/>
          <w:szCs w:val="24"/>
        </w:rPr>
        <w:t>plausibel?</w:t>
      </w:r>
      <w:r>
        <w:rPr>
          <w:rFonts w:ascii="Verdana" w:hAnsi="Verdana"/>
          <w:sz w:val="24"/>
          <w:szCs w:val="24"/>
        </w:rPr>
        <w:t xml:space="preserve"> Siehe 6. und 7.</w:t>
      </w:r>
    </w:p>
    <w:p w:rsidR="002A48C2" w:rsidRDefault="002A48C2" w:rsidP="002A48C2">
      <w:pPr>
        <w:spacing w:line="360" w:lineRule="auto"/>
        <w:jc w:val="both"/>
        <w:rPr>
          <w:rFonts w:ascii="Verdana" w:hAnsi="Verdana"/>
          <w:sz w:val="24"/>
          <w:szCs w:val="24"/>
        </w:rPr>
      </w:pPr>
    </w:p>
    <w:p w:rsidR="002A48C2" w:rsidRDefault="002A48C2" w:rsidP="002A48C2">
      <w:pPr>
        <w:spacing w:line="360" w:lineRule="auto"/>
        <w:jc w:val="both"/>
        <w:rPr>
          <w:rFonts w:ascii="Verdana" w:hAnsi="Verdana"/>
          <w:sz w:val="24"/>
          <w:szCs w:val="24"/>
        </w:rPr>
      </w:pPr>
      <w:r w:rsidRPr="00A33FD6">
        <w:rPr>
          <w:rFonts w:ascii="Verdana" w:hAnsi="Verdana"/>
          <w:b/>
          <w:sz w:val="24"/>
          <w:szCs w:val="24"/>
        </w:rPr>
        <w:t>IV. Investitionsschwerpunkte: Badezentrum, Eishallen, Gewerbeflächen, Innenstadt,</w:t>
      </w:r>
      <w:r>
        <w:rPr>
          <w:rFonts w:ascii="Verdana" w:hAnsi="Verdana"/>
          <w:sz w:val="24"/>
          <w:szCs w:val="24"/>
        </w:rPr>
        <w:t xml:space="preserve"> siehe 8.</w:t>
      </w:r>
    </w:p>
    <w:p w:rsidR="002A48C2" w:rsidRDefault="002A48C2" w:rsidP="002A48C2">
      <w:pPr>
        <w:spacing w:line="360" w:lineRule="auto"/>
        <w:jc w:val="both"/>
        <w:rPr>
          <w:rFonts w:ascii="Verdana" w:hAnsi="Verdana"/>
          <w:sz w:val="24"/>
          <w:szCs w:val="24"/>
        </w:rPr>
      </w:pPr>
    </w:p>
    <w:p w:rsidR="002A48C2" w:rsidRDefault="002A48C2" w:rsidP="002A48C2">
      <w:pPr>
        <w:spacing w:line="360" w:lineRule="auto"/>
        <w:jc w:val="both"/>
        <w:rPr>
          <w:rFonts w:ascii="Verdana" w:hAnsi="Verdana"/>
          <w:sz w:val="24"/>
          <w:szCs w:val="24"/>
        </w:rPr>
      </w:pPr>
      <w:r w:rsidRPr="00A33FD6">
        <w:rPr>
          <w:rFonts w:ascii="Verdana" w:hAnsi="Verdana"/>
          <w:b/>
          <w:sz w:val="24"/>
          <w:szCs w:val="24"/>
        </w:rPr>
        <w:t xml:space="preserve">V. Die „Gretchenfrage“: Was geschieht „am Ende des Tages“ (spätestens 2024) mit den Corona-Schulden? </w:t>
      </w:r>
      <w:r>
        <w:rPr>
          <w:rFonts w:ascii="Verdana" w:hAnsi="Verdana"/>
          <w:sz w:val="24"/>
          <w:szCs w:val="24"/>
        </w:rPr>
        <w:t>Siehe 9.</w:t>
      </w:r>
    </w:p>
    <w:p w:rsidR="002A48C2" w:rsidRDefault="002A48C2" w:rsidP="002A48C2">
      <w:pPr>
        <w:spacing w:line="360" w:lineRule="auto"/>
        <w:jc w:val="both"/>
        <w:rPr>
          <w:rFonts w:ascii="Verdana" w:hAnsi="Verdana"/>
          <w:sz w:val="24"/>
          <w:szCs w:val="24"/>
        </w:rPr>
      </w:pPr>
    </w:p>
    <w:p w:rsidR="002A48C2" w:rsidRDefault="002A48C2" w:rsidP="002A48C2">
      <w:pPr>
        <w:spacing w:line="360" w:lineRule="auto"/>
        <w:jc w:val="both"/>
        <w:rPr>
          <w:rFonts w:ascii="Verdana" w:hAnsi="Verdana"/>
          <w:sz w:val="24"/>
          <w:szCs w:val="24"/>
        </w:rPr>
      </w:pPr>
      <w:r w:rsidRPr="00A33FD6">
        <w:rPr>
          <w:rFonts w:ascii="Verdana" w:hAnsi="Verdana"/>
          <w:b/>
          <w:sz w:val="24"/>
          <w:szCs w:val="24"/>
        </w:rPr>
        <w:t>VI. Mittelfristige Finanzplanung aus 2019?!</w:t>
      </w:r>
      <w:r w:rsidR="00B732F3">
        <w:rPr>
          <w:rFonts w:ascii="Verdana" w:hAnsi="Verdana"/>
          <w:sz w:val="24"/>
          <w:szCs w:val="24"/>
        </w:rPr>
        <w:t xml:space="preserve"> Siehe 10.</w:t>
      </w:r>
    </w:p>
    <w:p w:rsidR="000723B8" w:rsidRDefault="000723B8" w:rsidP="002A48C2">
      <w:pPr>
        <w:spacing w:line="360" w:lineRule="auto"/>
        <w:jc w:val="both"/>
        <w:rPr>
          <w:rFonts w:ascii="Verdana" w:hAnsi="Verdana"/>
          <w:sz w:val="24"/>
          <w:szCs w:val="24"/>
        </w:rPr>
      </w:pPr>
    </w:p>
    <w:p w:rsidR="000723B8" w:rsidRDefault="000723B8" w:rsidP="002A48C2">
      <w:pPr>
        <w:spacing w:line="360" w:lineRule="auto"/>
        <w:jc w:val="both"/>
        <w:rPr>
          <w:rFonts w:ascii="Verdana" w:hAnsi="Verdana"/>
          <w:sz w:val="24"/>
          <w:szCs w:val="24"/>
        </w:rPr>
      </w:pPr>
    </w:p>
    <w:p w:rsidR="000723B8" w:rsidRDefault="000723B8" w:rsidP="002A48C2">
      <w:pPr>
        <w:spacing w:line="360" w:lineRule="auto"/>
        <w:jc w:val="both"/>
        <w:rPr>
          <w:rFonts w:ascii="Verdana" w:hAnsi="Verdana"/>
          <w:sz w:val="24"/>
          <w:szCs w:val="24"/>
        </w:rPr>
      </w:pPr>
    </w:p>
    <w:p w:rsidR="000723B8" w:rsidRDefault="000723B8" w:rsidP="002A48C2">
      <w:pPr>
        <w:spacing w:line="360" w:lineRule="auto"/>
        <w:jc w:val="both"/>
        <w:rPr>
          <w:rFonts w:ascii="Verdana" w:hAnsi="Verdana"/>
          <w:sz w:val="24"/>
          <w:szCs w:val="24"/>
        </w:rPr>
      </w:pPr>
    </w:p>
    <w:p w:rsidR="000723B8" w:rsidRDefault="000723B8" w:rsidP="002A48C2">
      <w:pPr>
        <w:spacing w:line="360" w:lineRule="auto"/>
        <w:jc w:val="both"/>
        <w:rPr>
          <w:rFonts w:ascii="Verdana" w:hAnsi="Verdana"/>
          <w:sz w:val="24"/>
          <w:szCs w:val="24"/>
        </w:rPr>
      </w:pPr>
    </w:p>
    <w:p w:rsidR="000723B8" w:rsidRDefault="000723B8" w:rsidP="002A48C2">
      <w:pPr>
        <w:spacing w:line="360" w:lineRule="auto"/>
        <w:jc w:val="both"/>
        <w:rPr>
          <w:rFonts w:ascii="Verdana" w:hAnsi="Verdana"/>
          <w:sz w:val="24"/>
          <w:szCs w:val="24"/>
        </w:rPr>
      </w:pPr>
    </w:p>
    <w:p w:rsidR="002A48C2" w:rsidRDefault="002A48C2" w:rsidP="002A48C2">
      <w:pPr>
        <w:spacing w:line="360" w:lineRule="auto"/>
        <w:jc w:val="both"/>
        <w:rPr>
          <w:rFonts w:ascii="Verdana" w:hAnsi="Verdana"/>
          <w:sz w:val="24"/>
          <w:szCs w:val="24"/>
        </w:rPr>
      </w:pPr>
    </w:p>
    <w:p w:rsidR="002A48C2" w:rsidRPr="00A33FD6" w:rsidRDefault="002A48C2" w:rsidP="002A48C2">
      <w:pPr>
        <w:pStyle w:val="Listenabsatz"/>
        <w:numPr>
          <w:ilvl w:val="0"/>
          <w:numId w:val="1"/>
        </w:numPr>
        <w:spacing w:line="360" w:lineRule="auto"/>
        <w:jc w:val="both"/>
        <w:rPr>
          <w:rFonts w:ascii="Verdana" w:hAnsi="Verdana"/>
          <w:sz w:val="24"/>
          <w:szCs w:val="24"/>
        </w:rPr>
      </w:pPr>
      <w:r w:rsidRPr="00A33FD6">
        <w:rPr>
          <w:rFonts w:ascii="Verdana" w:hAnsi="Verdana"/>
          <w:sz w:val="24"/>
          <w:szCs w:val="24"/>
        </w:rPr>
        <w:t>„Corona lässt die Schulden steigen“ (WZ KR 20.01.2021)</w:t>
      </w:r>
    </w:p>
    <w:p w:rsidR="002A48C2" w:rsidRDefault="002A48C2" w:rsidP="002A48C2">
      <w:pPr>
        <w:pStyle w:val="Listenabsatz"/>
        <w:spacing w:line="360" w:lineRule="auto"/>
        <w:jc w:val="both"/>
        <w:rPr>
          <w:rFonts w:ascii="Verdana" w:hAnsi="Verdana"/>
          <w:sz w:val="24"/>
          <w:szCs w:val="24"/>
        </w:rPr>
      </w:pPr>
    </w:p>
    <w:p w:rsidR="002A48C2" w:rsidRDefault="002A48C2" w:rsidP="002A48C2">
      <w:pPr>
        <w:pStyle w:val="Listenabsatz"/>
        <w:spacing w:line="360" w:lineRule="auto"/>
        <w:jc w:val="both"/>
        <w:rPr>
          <w:rFonts w:ascii="Verdana" w:hAnsi="Verdana"/>
          <w:sz w:val="24"/>
          <w:szCs w:val="24"/>
        </w:rPr>
      </w:pPr>
      <w:r>
        <w:rPr>
          <w:rFonts w:ascii="Verdana" w:hAnsi="Verdana"/>
          <w:sz w:val="24"/>
          <w:szCs w:val="24"/>
        </w:rPr>
        <w:t>„Corona-Krefeld verliert 120 Mio. Euro“ (RP KR vom 05.02.2021)</w:t>
      </w:r>
    </w:p>
    <w:p w:rsidR="002A48C2" w:rsidRDefault="002A48C2" w:rsidP="002A48C2">
      <w:pPr>
        <w:pStyle w:val="Listenabsatz"/>
        <w:spacing w:line="360" w:lineRule="auto"/>
        <w:jc w:val="both"/>
        <w:rPr>
          <w:rFonts w:ascii="Verdana" w:hAnsi="Verdana"/>
          <w:sz w:val="24"/>
          <w:szCs w:val="24"/>
        </w:rPr>
      </w:pPr>
    </w:p>
    <w:p w:rsidR="002A48C2" w:rsidRDefault="002A48C2" w:rsidP="002A48C2">
      <w:pPr>
        <w:pStyle w:val="Listenabsatz"/>
        <w:spacing w:line="360" w:lineRule="auto"/>
        <w:jc w:val="both"/>
        <w:rPr>
          <w:rFonts w:ascii="Verdana" w:hAnsi="Verdana"/>
          <w:sz w:val="24"/>
          <w:szCs w:val="24"/>
        </w:rPr>
      </w:pPr>
      <w:r>
        <w:rPr>
          <w:rFonts w:ascii="Verdana" w:hAnsi="Verdana"/>
          <w:sz w:val="24"/>
          <w:szCs w:val="24"/>
        </w:rPr>
        <w:t>„Trotz Corona-Lasten: Stadt rechnet 2021 mit einem Überschuss“ (WZ KR 05.02.2021)</w:t>
      </w:r>
    </w:p>
    <w:p w:rsidR="002A48C2" w:rsidRDefault="002A48C2" w:rsidP="002A48C2">
      <w:pPr>
        <w:pStyle w:val="Listenabsatz"/>
        <w:spacing w:line="360" w:lineRule="auto"/>
        <w:jc w:val="both"/>
        <w:rPr>
          <w:rFonts w:ascii="Verdana" w:hAnsi="Verdana"/>
          <w:sz w:val="24"/>
          <w:szCs w:val="24"/>
        </w:rPr>
      </w:pPr>
    </w:p>
    <w:p w:rsidR="002A48C2" w:rsidRDefault="002A48C2" w:rsidP="002A48C2">
      <w:pPr>
        <w:pStyle w:val="Listenabsatz"/>
        <w:spacing w:line="360" w:lineRule="auto"/>
        <w:jc w:val="both"/>
        <w:rPr>
          <w:rFonts w:ascii="Verdana" w:hAnsi="Verdana"/>
          <w:sz w:val="24"/>
          <w:szCs w:val="24"/>
        </w:rPr>
      </w:pPr>
      <w:r>
        <w:rPr>
          <w:rFonts w:ascii="Verdana" w:hAnsi="Verdana"/>
          <w:sz w:val="24"/>
          <w:szCs w:val="24"/>
        </w:rPr>
        <w:t>„Krefelder Haushalt bleibt trotz Corona-Millionen stabil“ (Extra Tipp 07.02.20</w:t>
      </w:r>
      <w:r w:rsidR="00A33FD6">
        <w:rPr>
          <w:rFonts w:ascii="Verdana" w:hAnsi="Verdana"/>
          <w:sz w:val="24"/>
          <w:szCs w:val="24"/>
        </w:rPr>
        <w:t>2</w:t>
      </w:r>
      <w:r>
        <w:rPr>
          <w:rFonts w:ascii="Verdana" w:hAnsi="Verdana"/>
          <w:sz w:val="24"/>
          <w:szCs w:val="24"/>
        </w:rPr>
        <w:t>1)</w:t>
      </w:r>
    </w:p>
    <w:p w:rsidR="002A48C2" w:rsidRDefault="002A48C2" w:rsidP="002A48C2">
      <w:pPr>
        <w:pStyle w:val="Listenabsatz"/>
        <w:spacing w:line="360" w:lineRule="auto"/>
        <w:jc w:val="both"/>
        <w:rPr>
          <w:rFonts w:ascii="Verdana" w:hAnsi="Verdana"/>
          <w:sz w:val="24"/>
          <w:szCs w:val="24"/>
        </w:rPr>
      </w:pPr>
    </w:p>
    <w:p w:rsidR="002A48C2" w:rsidRDefault="002A48C2" w:rsidP="002A48C2">
      <w:pPr>
        <w:pStyle w:val="Listenabsatz"/>
        <w:spacing w:line="360" w:lineRule="auto"/>
        <w:jc w:val="both"/>
        <w:rPr>
          <w:rFonts w:ascii="Verdana" w:hAnsi="Verdana"/>
          <w:sz w:val="24"/>
          <w:szCs w:val="24"/>
        </w:rPr>
      </w:pPr>
      <w:r>
        <w:rPr>
          <w:rFonts w:ascii="Verdana" w:hAnsi="Verdana"/>
          <w:sz w:val="24"/>
          <w:szCs w:val="24"/>
        </w:rPr>
        <w:t>Wie geht das? Wie passt das zusammen?</w:t>
      </w:r>
    </w:p>
    <w:p w:rsidR="002A48C2" w:rsidRDefault="002A48C2" w:rsidP="002A48C2">
      <w:pPr>
        <w:pStyle w:val="Listenabsatz"/>
        <w:spacing w:line="360" w:lineRule="auto"/>
        <w:jc w:val="both"/>
        <w:rPr>
          <w:rFonts w:ascii="Verdana" w:hAnsi="Verdana"/>
          <w:sz w:val="24"/>
          <w:szCs w:val="24"/>
        </w:rPr>
      </w:pPr>
    </w:p>
    <w:p w:rsidR="006F3149" w:rsidRPr="002A48C2" w:rsidRDefault="006F3149" w:rsidP="002A48C2">
      <w:pPr>
        <w:pStyle w:val="Listenabsatz"/>
        <w:spacing w:line="360" w:lineRule="auto"/>
        <w:jc w:val="both"/>
        <w:rPr>
          <w:rFonts w:ascii="Verdana" w:hAnsi="Verdana"/>
          <w:sz w:val="24"/>
          <w:szCs w:val="24"/>
        </w:rPr>
      </w:pPr>
    </w:p>
    <w:p w:rsidR="00C938C3" w:rsidRPr="00A33FD6" w:rsidRDefault="00C938C3" w:rsidP="00C938C3">
      <w:pPr>
        <w:pStyle w:val="Listenabsatz"/>
        <w:numPr>
          <w:ilvl w:val="0"/>
          <w:numId w:val="1"/>
        </w:numPr>
        <w:spacing w:line="360" w:lineRule="auto"/>
        <w:jc w:val="both"/>
        <w:rPr>
          <w:rFonts w:ascii="Verdana" w:hAnsi="Verdana"/>
          <w:sz w:val="24"/>
          <w:szCs w:val="24"/>
        </w:rPr>
      </w:pPr>
      <w:r w:rsidRPr="00A33FD6">
        <w:rPr>
          <w:rFonts w:ascii="Verdana" w:hAnsi="Verdana"/>
          <w:sz w:val="24"/>
          <w:szCs w:val="24"/>
        </w:rPr>
        <w:t>Das erklärte Ziel des Entwurfes ist die Darstellung eines – planmäßig – ausgeglichenen Haushaltes, um das Verlassen der Haushaltssicherung – planerisch – sicher zu stellen.</w:t>
      </w:r>
    </w:p>
    <w:p w:rsidR="00C938C3" w:rsidRDefault="00C938C3" w:rsidP="00C938C3">
      <w:pPr>
        <w:pStyle w:val="Listenabsatz"/>
        <w:spacing w:line="360" w:lineRule="auto"/>
        <w:jc w:val="both"/>
        <w:rPr>
          <w:rFonts w:ascii="Verdana" w:hAnsi="Verdana"/>
          <w:sz w:val="24"/>
          <w:szCs w:val="24"/>
        </w:rPr>
      </w:pPr>
    </w:p>
    <w:p w:rsidR="00C938C3" w:rsidRDefault="00C938C3" w:rsidP="00C938C3">
      <w:pPr>
        <w:pStyle w:val="Listenabsatz"/>
        <w:spacing w:line="360" w:lineRule="auto"/>
        <w:jc w:val="both"/>
        <w:rPr>
          <w:rFonts w:ascii="Verdana" w:hAnsi="Verdana"/>
          <w:sz w:val="24"/>
          <w:szCs w:val="24"/>
        </w:rPr>
      </w:pPr>
      <w:r>
        <w:rPr>
          <w:rFonts w:ascii="Verdana" w:hAnsi="Verdana"/>
          <w:sz w:val="24"/>
          <w:szCs w:val="24"/>
        </w:rPr>
        <w:t>Um dieses Ziel zu erreichen, werden positive Jahresergebnisse für die Jahre 2021 bis 2024 dargestellt.</w:t>
      </w:r>
    </w:p>
    <w:p w:rsidR="00BC71DD" w:rsidRDefault="00BC71DD" w:rsidP="00C938C3">
      <w:pPr>
        <w:pStyle w:val="Listenabsatz"/>
        <w:spacing w:line="360" w:lineRule="auto"/>
        <w:jc w:val="both"/>
        <w:rPr>
          <w:rFonts w:ascii="Verdana" w:hAnsi="Verdana"/>
          <w:sz w:val="24"/>
          <w:szCs w:val="24"/>
        </w:rPr>
      </w:pPr>
      <w:r>
        <w:rPr>
          <w:rFonts w:ascii="Verdana" w:hAnsi="Verdana"/>
          <w:sz w:val="24"/>
          <w:szCs w:val="24"/>
        </w:rPr>
        <w:t>Ein solches Vorgehen ist ausnahmsweise akzeptabel. Die Alternative wäre: ein nicht ausgeglichener Haushalt, Haushaltssicherung möglicherweise verbunden mit der Auflage der</w:t>
      </w:r>
      <w:r w:rsidR="00EF3CCB">
        <w:rPr>
          <w:rFonts w:ascii="Verdana" w:hAnsi="Verdana"/>
          <w:sz w:val="24"/>
          <w:szCs w:val="24"/>
        </w:rPr>
        <w:t xml:space="preserve"> Bezirksregierung, erneute Erhöh</w:t>
      </w:r>
      <w:r>
        <w:rPr>
          <w:rFonts w:ascii="Verdana" w:hAnsi="Verdana"/>
          <w:sz w:val="24"/>
          <w:szCs w:val="24"/>
        </w:rPr>
        <w:t>ungen der Gewerbe-, aber auch der Grundsteuer in Erwägung zu ziehen.</w:t>
      </w:r>
    </w:p>
    <w:p w:rsidR="00C938C3" w:rsidRDefault="00C938C3" w:rsidP="00C938C3">
      <w:pPr>
        <w:spacing w:line="360" w:lineRule="auto"/>
        <w:jc w:val="both"/>
        <w:rPr>
          <w:rFonts w:ascii="Verdana" w:hAnsi="Verdana"/>
          <w:sz w:val="24"/>
          <w:szCs w:val="24"/>
        </w:rPr>
      </w:pPr>
    </w:p>
    <w:p w:rsidR="00477B65" w:rsidRDefault="00477B65" w:rsidP="00477B65">
      <w:pPr>
        <w:pStyle w:val="Listenabsatz"/>
        <w:numPr>
          <w:ilvl w:val="0"/>
          <w:numId w:val="1"/>
        </w:numPr>
        <w:spacing w:line="360" w:lineRule="auto"/>
        <w:jc w:val="both"/>
        <w:rPr>
          <w:rFonts w:ascii="Verdana" w:hAnsi="Verdana"/>
          <w:sz w:val="24"/>
          <w:szCs w:val="24"/>
        </w:rPr>
      </w:pPr>
      <w:r>
        <w:rPr>
          <w:rFonts w:ascii="Verdana" w:hAnsi="Verdana"/>
          <w:sz w:val="24"/>
          <w:szCs w:val="24"/>
        </w:rPr>
        <w:t xml:space="preserve">Zwischen den ordentlichen Erträgen und den ordentlichen Aufwendungen in 2021, aber auch in 2022, 2023 und 2024, klaffen Lücken in Höhe von über 40 Mio. Euro, 2022 annähernd 50 Mio. Euro. Diese Lücken werden durch die Finanzergebnisse zum Teil geschlossen (was nicht zu beanstanden ist), trotzdem verbleibt als Jahresergebnis in 2021 ein Delta von </w:t>
      </w:r>
      <w:r w:rsidR="000723B8">
        <w:rPr>
          <w:rFonts w:ascii="Verdana" w:hAnsi="Verdana"/>
          <w:sz w:val="24"/>
          <w:szCs w:val="24"/>
        </w:rPr>
        <w:t xml:space="preserve">- </w:t>
      </w:r>
      <w:r>
        <w:rPr>
          <w:rFonts w:ascii="Verdana" w:hAnsi="Verdana"/>
          <w:sz w:val="24"/>
          <w:szCs w:val="24"/>
        </w:rPr>
        <w:t xml:space="preserve">16.297.000,00 Euro, in 2022 von </w:t>
      </w:r>
      <w:r w:rsidR="000723B8">
        <w:rPr>
          <w:rFonts w:ascii="Verdana" w:hAnsi="Verdana"/>
          <w:sz w:val="24"/>
          <w:szCs w:val="24"/>
        </w:rPr>
        <w:t xml:space="preserve">- </w:t>
      </w:r>
      <w:r>
        <w:rPr>
          <w:rFonts w:ascii="Verdana" w:hAnsi="Verdana"/>
          <w:sz w:val="24"/>
          <w:szCs w:val="24"/>
        </w:rPr>
        <w:t xml:space="preserve">23.992.000.00 €, in 2023 von </w:t>
      </w:r>
      <w:r w:rsidR="000723B8">
        <w:rPr>
          <w:rFonts w:ascii="Verdana" w:hAnsi="Verdana"/>
          <w:sz w:val="24"/>
          <w:szCs w:val="24"/>
        </w:rPr>
        <w:t xml:space="preserve">- </w:t>
      </w:r>
      <w:r>
        <w:rPr>
          <w:rFonts w:ascii="Verdana" w:hAnsi="Verdana"/>
          <w:sz w:val="24"/>
          <w:szCs w:val="24"/>
        </w:rPr>
        <w:t>23.572.000,00 Euro und in 2024 von 20.271.000,00 €.</w:t>
      </w:r>
    </w:p>
    <w:p w:rsidR="00477B65" w:rsidRDefault="00477B65" w:rsidP="00477B65">
      <w:pPr>
        <w:spacing w:line="360" w:lineRule="auto"/>
        <w:jc w:val="both"/>
        <w:rPr>
          <w:rFonts w:ascii="Verdana" w:hAnsi="Verdana"/>
          <w:sz w:val="24"/>
          <w:szCs w:val="24"/>
        </w:rPr>
      </w:pPr>
    </w:p>
    <w:p w:rsidR="00477B65" w:rsidRDefault="00477B65" w:rsidP="00477B65">
      <w:pPr>
        <w:pStyle w:val="Listenabsatz"/>
        <w:numPr>
          <w:ilvl w:val="0"/>
          <w:numId w:val="1"/>
        </w:numPr>
        <w:spacing w:line="360" w:lineRule="auto"/>
        <w:jc w:val="both"/>
        <w:rPr>
          <w:rFonts w:ascii="Verdana" w:hAnsi="Verdana"/>
          <w:sz w:val="24"/>
          <w:szCs w:val="24"/>
        </w:rPr>
      </w:pPr>
      <w:r>
        <w:rPr>
          <w:rFonts w:ascii="Verdana" w:hAnsi="Verdana"/>
          <w:sz w:val="24"/>
          <w:szCs w:val="24"/>
        </w:rPr>
        <w:t>Mittels der Bilanzierungshilfe / Isolierung coronabedingter Belastungen (</w:t>
      </w:r>
      <w:r w:rsidR="000908A4">
        <w:rPr>
          <w:rFonts w:ascii="Verdana" w:hAnsi="Verdana"/>
          <w:sz w:val="24"/>
          <w:szCs w:val="24"/>
        </w:rPr>
        <w:t>Definition</w:t>
      </w:r>
      <w:r>
        <w:rPr>
          <w:rFonts w:ascii="Verdana" w:hAnsi="Verdana"/>
          <w:sz w:val="24"/>
          <w:szCs w:val="24"/>
        </w:rPr>
        <w:t>?) lassen sich die positiv</w:t>
      </w:r>
      <w:r w:rsidR="00B732F3">
        <w:rPr>
          <w:rFonts w:ascii="Verdana" w:hAnsi="Verdana"/>
          <w:sz w:val="24"/>
          <w:szCs w:val="24"/>
        </w:rPr>
        <w:t>en Jahresergebnisse für die</w:t>
      </w:r>
      <w:r>
        <w:rPr>
          <w:rFonts w:ascii="Verdana" w:hAnsi="Verdana"/>
          <w:sz w:val="24"/>
          <w:szCs w:val="24"/>
        </w:rPr>
        <w:t xml:space="preserve"> Jahre 2021 bis 2024 darstellen.</w:t>
      </w:r>
      <w:r w:rsidR="000723B8">
        <w:rPr>
          <w:rFonts w:ascii="Verdana" w:hAnsi="Verdana"/>
          <w:sz w:val="24"/>
          <w:szCs w:val="24"/>
        </w:rPr>
        <w:t xml:space="preserve"> Diese wü</w:t>
      </w:r>
      <w:r w:rsidR="00920593">
        <w:rPr>
          <w:rFonts w:ascii="Verdana" w:hAnsi="Verdana"/>
          <w:sz w:val="24"/>
          <w:szCs w:val="24"/>
        </w:rPr>
        <w:t>rden</w:t>
      </w:r>
      <w:r w:rsidR="002A48C2">
        <w:rPr>
          <w:rFonts w:ascii="Verdana" w:hAnsi="Verdana"/>
          <w:sz w:val="24"/>
          <w:szCs w:val="24"/>
        </w:rPr>
        <w:t xml:space="preserve"> thesauriert (einschließlich der Überschüsse seit 2017</w:t>
      </w:r>
      <w:r w:rsidR="00920593">
        <w:rPr>
          <w:rFonts w:ascii="Verdana" w:hAnsi="Verdana"/>
          <w:sz w:val="24"/>
          <w:szCs w:val="24"/>
        </w:rPr>
        <w:t>) einen Gesamtbetrag von 75,3 Mio. Euro ausmachen, mit dem die Ausgleichsrücklage aufgestockt werden könnte (siehe 8.)</w:t>
      </w:r>
    </w:p>
    <w:p w:rsidR="00822CB9" w:rsidRDefault="00822CB9" w:rsidP="00822CB9">
      <w:pPr>
        <w:pStyle w:val="Listenabsatz"/>
        <w:spacing w:line="360" w:lineRule="auto"/>
        <w:jc w:val="both"/>
        <w:rPr>
          <w:rFonts w:ascii="Verdana" w:hAnsi="Verdana"/>
          <w:sz w:val="24"/>
          <w:szCs w:val="24"/>
        </w:rPr>
      </w:pPr>
    </w:p>
    <w:p w:rsidR="00822CB9" w:rsidRDefault="00822CB9" w:rsidP="00822CB9">
      <w:pPr>
        <w:pStyle w:val="Listenabsatz"/>
        <w:spacing w:line="360" w:lineRule="auto"/>
        <w:jc w:val="both"/>
        <w:rPr>
          <w:rFonts w:ascii="Verdana" w:hAnsi="Verdana"/>
          <w:sz w:val="24"/>
          <w:szCs w:val="24"/>
        </w:rPr>
      </w:pPr>
      <w:r>
        <w:rPr>
          <w:rFonts w:ascii="Verdana" w:hAnsi="Verdana"/>
          <w:sz w:val="24"/>
          <w:szCs w:val="24"/>
        </w:rPr>
        <w:t>„Auf einem anderen Blatt</w:t>
      </w:r>
      <w:r w:rsidR="00A33FD6">
        <w:rPr>
          <w:rFonts w:ascii="Verdana" w:hAnsi="Verdana"/>
          <w:sz w:val="24"/>
          <w:szCs w:val="24"/>
        </w:rPr>
        <w:t>“</w:t>
      </w:r>
      <w:r>
        <w:rPr>
          <w:rFonts w:ascii="Verdana" w:hAnsi="Verdana"/>
          <w:sz w:val="24"/>
          <w:szCs w:val="24"/>
        </w:rPr>
        <w:t xml:space="preserve"> steht die Liquidität.</w:t>
      </w:r>
    </w:p>
    <w:p w:rsidR="00477B65" w:rsidRDefault="00477B65" w:rsidP="00477B65">
      <w:pPr>
        <w:pStyle w:val="Listenabsatz"/>
        <w:spacing w:line="360" w:lineRule="auto"/>
        <w:jc w:val="both"/>
        <w:rPr>
          <w:rFonts w:ascii="Verdana" w:hAnsi="Verdana"/>
          <w:sz w:val="24"/>
          <w:szCs w:val="24"/>
        </w:rPr>
      </w:pPr>
    </w:p>
    <w:p w:rsidR="00A33FD6" w:rsidRDefault="00477B65" w:rsidP="00477B65">
      <w:pPr>
        <w:pStyle w:val="Listenabsatz"/>
        <w:spacing w:line="360" w:lineRule="auto"/>
        <w:jc w:val="both"/>
        <w:rPr>
          <w:rFonts w:ascii="Verdana" w:hAnsi="Verdana"/>
          <w:sz w:val="24"/>
          <w:szCs w:val="24"/>
        </w:rPr>
      </w:pPr>
      <w:r>
        <w:rPr>
          <w:rFonts w:ascii="Verdana" w:hAnsi="Verdana"/>
          <w:sz w:val="24"/>
          <w:szCs w:val="24"/>
        </w:rPr>
        <w:t>Zitat aus der Rede des Kämmerers bei der Einbringung des</w:t>
      </w:r>
      <w:r w:rsidR="00AD4200">
        <w:rPr>
          <w:rFonts w:ascii="Verdana" w:hAnsi="Verdana"/>
          <w:sz w:val="24"/>
          <w:szCs w:val="24"/>
        </w:rPr>
        <w:t xml:space="preserve"> Haushaltes am 04. Februar 2021 (Langfassung)</w:t>
      </w:r>
    </w:p>
    <w:p w:rsidR="00477B65" w:rsidRDefault="00AD4200" w:rsidP="00477B65">
      <w:pPr>
        <w:pStyle w:val="Listenabsatz"/>
        <w:spacing w:line="360" w:lineRule="auto"/>
        <w:jc w:val="both"/>
        <w:rPr>
          <w:rFonts w:ascii="Verdana" w:hAnsi="Verdana"/>
          <w:sz w:val="24"/>
          <w:szCs w:val="24"/>
        </w:rPr>
      </w:pPr>
      <w:r>
        <w:rPr>
          <w:rFonts w:ascii="Verdana" w:hAnsi="Verdana"/>
          <w:sz w:val="24"/>
          <w:szCs w:val="24"/>
        </w:rPr>
        <w:t>Seite 6:</w:t>
      </w:r>
    </w:p>
    <w:p w:rsidR="00477B65" w:rsidRDefault="00477B65" w:rsidP="00477B65">
      <w:pPr>
        <w:pStyle w:val="Listenabsatz"/>
        <w:spacing w:line="360" w:lineRule="auto"/>
        <w:jc w:val="both"/>
        <w:rPr>
          <w:rFonts w:ascii="Verdana" w:hAnsi="Verdana"/>
          <w:sz w:val="24"/>
          <w:szCs w:val="24"/>
        </w:rPr>
      </w:pPr>
    </w:p>
    <w:p w:rsidR="00477B65" w:rsidRDefault="00477B65" w:rsidP="00477B65">
      <w:pPr>
        <w:pStyle w:val="Listenabsatz"/>
        <w:spacing w:line="360" w:lineRule="auto"/>
        <w:ind w:left="1416"/>
        <w:jc w:val="both"/>
        <w:rPr>
          <w:rFonts w:ascii="Verdana" w:hAnsi="Verdana"/>
          <w:sz w:val="24"/>
          <w:szCs w:val="24"/>
        </w:rPr>
      </w:pPr>
      <w:r>
        <w:rPr>
          <w:rFonts w:ascii="Verdana" w:hAnsi="Verdana"/>
          <w:sz w:val="24"/>
          <w:szCs w:val="24"/>
        </w:rPr>
        <w:t>„Die Bilanzierungshilfe versetzt uns zwar buchhalterisch in die Lage, einen ausgeglichenen Haushalt darzustellen; rein liquiditätstechnisch bietet dies jedoch keinerlei Hilfe.“</w:t>
      </w:r>
    </w:p>
    <w:p w:rsidR="00477B65" w:rsidRDefault="00477B65" w:rsidP="00477B65">
      <w:pPr>
        <w:pStyle w:val="Listenabsatz"/>
        <w:spacing w:line="360" w:lineRule="auto"/>
        <w:jc w:val="both"/>
        <w:rPr>
          <w:rFonts w:ascii="Verdana" w:hAnsi="Verdana"/>
          <w:sz w:val="24"/>
          <w:szCs w:val="24"/>
        </w:rPr>
      </w:pPr>
    </w:p>
    <w:p w:rsidR="00477B65" w:rsidRDefault="00477B65" w:rsidP="00477B65">
      <w:pPr>
        <w:pStyle w:val="Listenabsatz"/>
        <w:spacing w:line="360" w:lineRule="auto"/>
        <w:jc w:val="both"/>
        <w:rPr>
          <w:rFonts w:ascii="Verdana" w:hAnsi="Verdana"/>
          <w:sz w:val="24"/>
          <w:szCs w:val="24"/>
        </w:rPr>
      </w:pPr>
      <w:r>
        <w:rPr>
          <w:rFonts w:ascii="Verdana" w:hAnsi="Verdana"/>
          <w:sz w:val="24"/>
          <w:szCs w:val="24"/>
        </w:rPr>
        <w:lastRenderedPageBreak/>
        <w:t>Mit anderen Worten: Zur Sicherung der Liquidität wird die Sta</w:t>
      </w:r>
      <w:r w:rsidR="00AD4200">
        <w:rPr>
          <w:rFonts w:ascii="Verdana" w:hAnsi="Verdana"/>
          <w:sz w:val="24"/>
          <w:szCs w:val="24"/>
        </w:rPr>
        <w:t>dt in 2021, voraussichtlich</w:t>
      </w:r>
      <w:r>
        <w:rPr>
          <w:rFonts w:ascii="Verdana" w:hAnsi="Verdana"/>
          <w:sz w:val="24"/>
          <w:szCs w:val="24"/>
        </w:rPr>
        <w:t xml:space="preserve"> auch in den Jahren 2022 bis 2024 gezwungen sein, Liquiditä</w:t>
      </w:r>
      <w:r w:rsidR="00AD4200">
        <w:rPr>
          <w:rFonts w:ascii="Verdana" w:hAnsi="Verdana"/>
          <w:sz w:val="24"/>
          <w:szCs w:val="24"/>
        </w:rPr>
        <w:t>tskredite in Anspruch zu nehmen, und</w:t>
      </w:r>
      <w:r w:rsidR="00B732F3">
        <w:rPr>
          <w:rFonts w:ascii="Verdana" w:hAnsi="Verdana"/>
          <w:sz w:val="24"/>
          <w:szCs w:val="24"/>
        </w:rPr>
        <w:t xml:space="preserve"> zwar wahrscheinlich in größerem</w:t>
      </w:r>
      <w:r w:rsidR="00AD4200">
        <w:rPr>
          <w:rFonts w:ascii="Verdana" w:hAnsi="Verdana"/>
          <w:sz w:val="24"/>
          <w:szCs w:val="24"/>
        </w:rPr>
        <w:t xml:space="preserve"> Umfang als vor der Pandemie.</w:t>
      </w:r>
      <w:r w:rsidR="00822CB9">
        <w:rPr>
          <w:rFonts w:ascii="Verdana" w:hAnsi="Verdana"/>
          <w:sz w:val="24"/>
          <w:szCs w:val="24"/>
        </w:rPr>
        <w:t xml:space="preserve"> (Entwurf: bis zu 520.000.000 Euro). Der Schuldenstand laut der letzten Jahresrechnung (2018 – vor Corona): 1,47 Milliarden Euro!</w:t>
      </w:r>
      <w:r w:rsidR="003B7DB2">
        <w:rPr>
          <w:rFonts w:ascii="Verdana" w:hAnsi="Verdana"/>
          <w:sz w:val="24"/>
          <w:szCs w:val="24"/>
        </w:rPr>
        <w:t xml:space="preserve"> </w:t>
      </w:r>
    </w:p>
    <w:p w:rsidR="003B7DB2" w:rsidRDefault="003B7DB2" w:rsidP="00477B65">
      <w:pPr>
        <w:pStyle w:val="Listenabsatz"/>
        <w:spacing w:line="360" w:lineRule="auto"/>
        <w:jc w:val="both"/>
        <w:rPr>
          <w:rFonts w:ascii="Verdana" w:hAnsi="Verdana"/>
          <w:sz w:val="24"/>
          <w:szCs w:val="24"/>
        </w:rPr>
      </w:pPr>
      <w:r>
        <w:rPr>
          <w:rFonts w:ascii="Verdana" w:hAnsi="Verdana"/>
          <w:sz w:val="24"/>
          <w:szCs w:val="24"/>
        </w:rPr>
        <w:t>Verbindlichkeiten 2018: 901 Mio. Euro</w:t>
      </w:r>
    </w:p>
    <w:p w:rsidR="003B7DB2" w:rsidRDefault="003B7DB2" w:rsidP="00477B65">
      <w:pPr>
        <w:pStyle w:val="Listenabsatz"/>
        <w:spacing w:line="360" w:lineRule="auto"/>
        <w:jc w:val="both"/>
        <w:rPr>
          <w:rFonts w:ascii="Verdana" w:hAnsi="Verdana"/>
          <w:sz w:val="24"/>
          <w:szCs w:val="24"/>
        </w:rPr>
      </w:pPr>
      <w:r>
        <w:rPr>
          <w:rFonts w:ascii="Verdana" w:hAnsi="Verdana"/>
          <w:sz w:val="24"/>
          <w:szCs w:val="24"/>
        </w:rPr>
        <w:t xml:space="preserve">                         (2017: 636 Mio. Euro)</w:t>
      </w:r>
    </w:p>
    <w:p w:rsidR="003B7DB2" w:rsidRDefault="003B7DB2" w:rsidP="00477B65">
      <w:pPr>
        <w:pStyle w:val="Listenabsatz"/>
        <w:spacing w:line="360" w:lineRule="auto"/>
        <w:jc w:val="both"/>
        <w:rPr>
          <w:rFonts w:ascii="Verdana" w:hAnsi="Verdana"/>
          <w:sz w:val="24"/>
          <w:szCs w:val="24"/>
        </w:rPr>
      </w:pPr>
      <w:r>
        <w:rPr>
          <w:rFonts w:ascii="Verdana" w:hAnsi="Verdana"/>
          <w:sz w:val="24"/>
          <w:szCs w:val="24"/>
        </w:rPr>
        <w:t>Rückstellungen    2018: 573 Mio. Euro</w:t>
      </w:r>
      <w:bookmarkStart w:id="0" w:name="_GoBack"/>
      <w:bookmarkEnd w:id="0"/>
      <w:r>
        <w:rPr>
          <w:rFonts w:ascii="Verdana" w:hAnsi="Verdana"/>
          <w:sz w:val="24"/>
          <w:szCs w:val="24"/>
        </w:rPr>
        <w:t xml:space="preserve">                         </w:t>
      </w:r>
    </w:p>
    <w:p w:rsidR="007B2750" w:rsidRDefault="007B2750" w:rsidP="00477B65">
      <w:pPr>
        <w:pStyle w:val="Listenabsatz"/>
        <w:spacing w:line="360" w:lineRule="auto"/>
        <w:jc w:val="both"/>
        <w:rPr>
          <w:rFonts w:ascii="Verdana" w:hAnsi="Verdana"/>
          <w:sz w:val="24"/>
          <w:szCs w:val="24"/>
        </w:rPr>
      </w:pPr>
      <w:r>
        <w:rPr>
          <w:rFonts w:ascii="Verdana" w:hAnsi="Verdana"/>
          <w:sz w:val="24"/>
          <w:szCs w:val="24"/>
        </w:rPr>
        <w:t xml:space="preserve">z. B. für zukünftige Pensionszahlungen </w:t>
      </w:r>
      <w:r>
        <w:rPr>
          <w:rFonts w:ascii="Verdana" w:hAnsi="Verdana"/>
          <w:sz w:val="24"/>
          <w:szCs w:val="24"/>
        </w:rPr>
        <w:t>(2017: 554 Mio. Euro)</w:t>
      </w:r>
    </w:p>
    <w:p w:rsidR="00477B65" w:rsidRDefault="00477B65" w:rsidP="00477B65">
      <w:pPr>
        <w:spacing w:line="360" w:lineRule="auto"/>
        <w:jc w:val="both"/>
        <w:rPr>
          <w:rFonts w:ascii="Verdana" w:hAnsi="Verdana"/>
          <w:sz w:val="24"/>
          <w:szCs w:val="24"/>
        </w:rPr>
      </w:pPr>
    </w:p>
    <w:p w:rsidR="00477B65" w:rsidRDefault="00822CB9" w:rsidP="00477B65">
      <w:pPr>
        <w:pStyle w:val="Listenabsatz"/>
        <w:spacing w:line="360" w:lineRule="auto"/>
        <w:jc w:val="both"/>
        <w:rPr>
          <w:rFonts w:ascii="Verdana" w:hAnsi="Verdana"/>
          <w:sz w:val="24"/>
          <w:szCs w:val="24"/>
        </w:rPr>
      </w:pPr>
      <w:r>
        <w:rPr>
          <w:rFonts w:ascii="Verdana" w:hAnsi="Verdana"/>
          <w:sz w:val="24"/>
          <w:szCs w:val="24"/>
        </w:rPr>
        <w:t>5</w:t>
      </w:r>
      <w:r w:rsidR="00477B65">
        <w:rPr>
          <w:rFonts w:ascii="Verdana" w:hAnsi="Verdana"/>
          <w:sz w:val="24"/>
          <w:szCs w:val="24"/>
        </w:rPr>
        <w:t>. Einschließlich 2020 werden sich die coronabedingten Belastungen, die mittels der Bilanzierungshilfe isoliert werden können, auf</w:t>
      </w:r>
      <w:r w:rsidR="00AD4200">
        <w:rPr>
          <w:rFonts w:ascii="Verdana" w:hAnsi="Verdana"/>
          <w:sz w:val="24"/>
          <w:szCs w:val="24"/>
        </w:rPr>
        <w:t xml:space="preserve"> z. Zt. geschätzt</w:t>
      </w:r>
      <w:r w:rsidR="00477B65">
        <w:rPr>
          <w:rFonts w:ascii="Verdana" w:hAnsi="Verdana"/>
          <w:sz w:val="24"/>
          <w:szCs w:val="24"/>
        </w:rPr>
        <w:t xml:space="preserve"> 120 Mio. Euro belaufen. Pandemiebedingt kann dieser Betrag noch anwachsen. </w:t>
      </w:r>
    </w:p>
    <w:p w:rsidR="00AD4200" w:rsidRDefault="00AD4200" w:rsidP="00477B65">
      <w:pPr>
        <w:pStyle w:val="Listenabsatz"/>
        <w:spacing w:line="360" w:lineRule="auto"/>
        <w:jc w:val="both"/>
        <w:rPr>
          <w:rFonts w:ascii="Verdana" w:hAnsi="Verdana"/>
          <w:sz w:val="24"/>
          <w:szCs w:val="24"/>
        </w:rPr>
      </w:pPr>
    </w:p>
    <w:p w:rsidR="00477B65" w:rsidRDefault="00822CB9" w:rsidP="00477B65">
      <w:pPr>
        <w:pStyle w:val="Listenabsatz"/>
        <w:spacing w:line="360" w:lineRule="auto"/>
        <w:jc w:val="both"/>
        <w:rPr>
          <w:rFonts w:ascii="Verdana" w:hAnsi="Verdana"/>
          <w:sz w:val="24"/>
          <w:szCs w:val="24"/>
        </w:rPr>
      </w:pPr>
      <w:r>
        <w:rPr>
          <w:rFonts w:ascii="Verdana" w:hAnsi="Verdana"/>
          <w:sz w:val="24"/>
          <w:szCs w:val="24"/>
        </w:rPr>
        <w:t>6</w:t>
      </w:r>
      <w:r w:rsidR="00477B65">
        <w:rPr>
          <w:rFonts w:ascii="Verdana" w:hAnsi="Verdana"/>
          <w:sz w:val="24"/>
          <w:szCs w:val="24"/>
        </w:rPr>
        <w:t>. Umso dringlicher stellt sich die Frage, ob in dem Entwurf für 2021 und perspektivisch für die Jahre</w:t>
      </w:r>
      <w:r w:rsidR="000723B8">
        <w:rPr>
          <w:rFonts w:ascii="Verdana" w:hAnsi="Verdana"/>
          <w:sz w:val="24"/>
          <w:szCs w:val="24"/>
        </w:rPr>
        <w:t xml:space="preserve"> bis</w:t>
      </w:r>
      <w:r w:rsidR="00477B65">
        <w:rPr>
          <w:rFonts w:ascii="Verdana" w:hAnsi="Verdana"/>
          <w:sz w:val="24"/>
          <w:szCs w:val="24"/>
        </w:rPr>
        <w:t xml:space="preserve"> 2024 die zu erwartenden Ertragspositionen und Aufwandspositionen zumindest plausibel dargestellt</w:t>
      </w:r>
      <w:r w:rsidR="000549B1">
        <w:rPr>
          <w:rFonts w:ascii="Verdana" w:hAnsi="Verdana"/>
          <w:sz w:val="24"/>
          <w:szCs w:val="24"/>
        </w:rPr>
        <w:t xml:space="preserve"> werden. Nachfolgend wird zu dem</w:t>
      </w:r>
      <w:r w:rsidR="00477B65">
        <w:rPr>
          <w:rFonts w:ascii="Verdana" w:hAnsi="Verdana"/>
          <w:sz w:val="24"/>
          <w:szCs w:val="24"/>
        </w:rPr>
        <w:t xml:space="preserve"> Entwurf in Bezug auf die Gewerbesteuer, die Transferaufwendungen</w:t>
      </w:r>
      <w:r w:rsidR="00BC71DD">
        <w:rPr>
          <w:rFonts w:ascii="Verdana" w:hAnsi="Verdana"/>
          <w:sz w:val="24"/>
          <w:szCs w:val="24"/>
        </w:rPr>
        <w:t xml:space="preserve">, </w:t>
      </w:r>
      <w:proofErr w:type="gramStart"/>
      <w:r w:rsidR="00BC71DD">
        <w:rPr>
          <w:rFonts w:ascii="Verdana" w:hAnsi="Verdana"/>
          <w:sz w:val="24"/>
          <w:szCs w:val="24"/>
        </w:rPr>
        <w:t xml:space="preserve">die </w:t>
      </w:r>
      <w:r w:rsidR="00477B65">
        <w:rPr>
          <w:rFonts w:ascii="Verdana" w:hAnsi="Verdana"/>
          <w:sz w:val="24"/>
          <w:szCs w:val="24"/>
        </w:rPr>
        <w:t xml:space="preserve"> Zuschüsse</w:t>
      </w:r>
      <w:proofErr w:type="gramEnd"/>
      <w:r w:rsidR="00477B65">
        <w:rPr>
          <w:rFonts w:ascii="Verdana" w:hAnsi="Verdana"/>
          <w:sz w:val="24"/>
          <w:szCs w:val="24"/>
        </w:rPr>
        <w:t xml:space="preserve"> an verbundenen Unternehmen </w:t>
      </w:r>
      <w:r w:rsidR="00BC71DD">
        <w:rPr>
          <w:rFonts w:ascii="Verdana" w:hAnsi="Verdana"/>
          <w:sz w:val="24"/>
          <w:szCs w:val="24"/>
        </w:rPr>
        <w:t xml:space="preserve">und die Personalaufwendungen </w:t>
      </w:r>
      <w:r w:rsidR="00477B65">
        <w:rPr>
          <w:rFonts w:ascii="Verdana" w:hAnsi="Verdana"/>
          <w:sz w:val="24"/>
          <w:szCs w:val="24"/>
        </w:rPr>
        <w:t>Stellung genommen:</w:t>
      </w:r>
    </w:p>
    <w:p w:rsidR="00477B65" w:rsidRDefault="00477B65" w:rsidP="00477B65">
      <w:pPr>
        <w:pStyle w:val="Listenabsatz"/>
        <w:spacing w:line="360" w:lineRule="auto"/>
        <w:jc w:val="both"/>
        <w:rPr>
          <w:rFonts w:ascii="Verdana" w:hAnsi="Verdana"/>
          <w:sz w:val="24"/>
          <w:szCs w:val="24"/>
        </w:rPr>
      </w:pPr>
    </w:p>
    <w:p w:rsidR="00477B65" w:rsidRDefault="00477B65" w:rsidP="00477B65">
      <w:pPr>
        <w:pStyle w:val="Listenabsatz"/>
        <w:numPr>
          <w:ilvl w:val="0"/>
          <w:numId w:val="5"/>
        </w:numPr>
        <w:spacing w:line="360" w:lineRule="auto"/>
        <w:jc w:val="both"/>
        <w:rPr>
          <w:rFonts w:ascii="Verdana" w:hAnsi="Verdana"/>
          <w:sz w:val="24"/>
          <w:szCs w:val="24"/>
        </w:rPr>
      </w:pPr>
      <w:r>
        <w:rPr>
          <w:rFonts w:ascii="Verdana" w:hAnsi="Verdana"/>
          <w:sz w:val="24"/>
          <w:szCs w:val="24"/>
        </w:rPr>
        <w:t>Gewerbesteuer</w:t>
      </w:r>
      <w:r w:rsidR="00EF3CCB">
        <w:rPr>
          <w:rFonts w:ascii="Verdana" w:hAnsi="Verdana"/>
          <w:sz w:val="24"/>
          <w:szCs w:val="24"/>
        </w:rPr>
        <w:t xml:space="preserve"> (größte Steuer</w:t>
      </w:r>
      <w:r w:rsidR="00BC71DD">
        <w:rPr>
          <w:rFonts w:ascii="Verdana" w:hAnsi="Verdana"/>
          <w:sz w:val="24"/>
          <w:szCs w:val="24"/>
        </w:rPr>
        <w:t>ertragsposition)</w:t>
      </w:r>
    </w:p>
    <w:p w:rsidR="00477B65" w:rsidRDefault="00477B65" w:rsidP="00477B65">
      <w:pPr>
        <w:pStyle w:val="Listenabsatz"/>
        <w:spacing w:line="360" w:lineRule="auto"/>
        <w:ind w:left="1440"/>
        <w:jc w:val="both"/>
        <w:rPr>
          <w:rFonts w:ascii="Verdana" w:hAnsi="Verdana"/>
          <w:sz w:val="24"/>
          <w:szCs w:val="24"/>
        </w:rPr>
      </w:pPr>
    </w:p>
    <w:p w:rsidR="00822CB9" w:rsidRDefault="00822CB9" w:rsidP="00477B65">
      <w:pPr>
        <w:pStyle w:val="Listenabsatz"/>
        <w:spacing w:line="360" w:lineRule="auto"/>
        <w:ind w:left="1440"/>
        <w:jc w:val="both"/>
        <w:rPr>
          <w:rFonts w:ascii="Verdana" w:hAnsi="Verdana"/>
          <w:sz w:val="24"/>
          <w:szCs w:val="24"/>
        </w:rPr>
      </w:pPr>
      <w:r>
        <w:rPr>
          <w:rFonts w:ascii="Verdana" w:hAnsi="Verdana"/>
          <w:sz w:val="24"/>
          <w:szCs w:val="24"/>
        </w:rPr>
        <w:lastRenderedPageBreak/>
        <w:t>So begrüßenswert es ist, dass keine Erhöhung vorgesehen ist: Die Gewerbesteuer ist in Krefeld zu hoch und müsste „an sich“ gesenkt werden.</w:t>
      </w:r>
    </w:p>
    <w:p w:rsidR="00822CB9" w:rsidRDefault="00822CB9" w:rsidP="00477B65">
      <w:pPr>
        <w:pStyle w:val="Listenabsatz"/>
        <w:spacing w:line="360" w:lineRule="auto"/>
        <w:ind w:left="1440"/>
        <w:jc w:val="both"/>
        <w:rPr>
          <w:rFonts w:ascii="Verdana" w:hAnsi="Verdana"/>
          <w:sz w:val="24"/>
          <w:szCs w:val="24"/>
        </w:rPr>
      </w:pPr>
    </w:p>
    <w:p w:rsidR="00477B65" w:rsidRDefault="00477B65" w:rsidP="00477B65">
      <w:pPr>
        <w:pStyle w:val="Listenabsatz"/>
        <w:spacing w:line="360" w:lineRule="auto"/>
        <w:ind w:left="1440"/>
        <w:jc w:val="both"/>
        <w:rPr>
          <w:rFonts w:ascii="Verdana" w:hAnsi="Verdana"/>
          <w:sz w:val="24"/>
          <w:szCs w:val="24"/>
        </w:rPr>
      </w:pPr>
      <w:r>
        <w:rPr>
          <w:rFonts w:ascii="Verdana" w:hAnsi="Verdana"/>
          <w:sz w:val="24"/>
          <w:szCs w:val="24"/>
        </w:rPr>
        <w:t>Bei einem prognostizierten Jahresergebnis für 2019 von 182</w:t>
      </w:r>
      <w:r w:rsidR="00A33FD6">
        <w:rPr>
          <w:rFonts w:ascii="Verdana" w:hAnsi="Verdana"/>
          <w:sz w:val="24"/>
          <w:szCs w:val="24"/>
        </w:rPr>
        <w:t>,</w:t>
      </w:r>
      <w:r>
        <w:rPr>
          <w:rFonts w:ascii="Verdana" w:hAnsi="Verdana"/>
          <w:sz w:val="24"/>
          <w:szCs w:val="24"/>
        </w:rPr>
        <w:t>3 Mio. Euro geht der Kämmerer 2020 von 162 Mio. Euro und ab 2021 von jährlich zwischen 150 Mio. Euro und 153 Mio. Euro aus.</w:t>
      </w:r>
      <w:r w:rsidR="00AD4200">
        <w:rPr>
          <w:rFonts w:ascii="Verdana" w:hAnsi="Verdana"/>
          <w:sz w:val="24"/>
          <w:szCs w:val="24"/>
        </w:rPr>
        <w:t xml:space="preserve"> Dies erscheint plausibel.</w:t>
      </w:r>
    </w:p>
    <w:p w:rsidR="00477B65" w:rsidRDefault="00477B65" w:rsidP="00477B65">
      <w:pPr>
        <w:spacing w:line="360" w:lineRule="auto"/>
        <w:jc w:val="both"/>
        <w:rPr>
          <w:rFonts w:ascii="Verdana" w:hAnsi="Verdana"/>
          <w:sz w:val="24"/>
          <w:szCs w:val="24"/>
        </w:rPr>
      </w:pPr>
    </w:p>
    <w:p w:rsidR="00822CB9" w:rsidRDefault="00822CB9" w:rsidP="00477B65">
      <w:pPr>
        <w:pStyle w:val="Listenabsatz"/>
        <w:numPr>
          <w:ilvl w:val="0"/>
          <w:numId w:val="5"/>
        </w:numPr>
        <w:spacing w:line="360" w:lineRule="auto"/>
        <w:jc w:val="both"/>
        <w:rPr>
          <w:rFonts w:ascii="Verdana" w:hAnsi="Verdana"/>
          <w:sz w:val="24"/>
          <w:szCs w:val="24"/>
        </w:rPr>
      </w:pPr>
      <w:r>
        <w:rPr>
          <w:rFonts w:ascii="Verdana" w:hAnsi="Verdana"/>
          <w:sz w:val="24"/>
          <w:szCs w:val="24"/>
        </w:rPr>
        <w:t>Transferaufwendungen</w:t>
      </w:r>
      <w:r w:rsidR="00BC71DD">
        <w:rPr>
          <w:rFonts w:ascii="Verdana" w:hAnsi="Verdana"/>
          <w:sz w:val="24"/>
          <w:szCs w:val="24"/>
        </w:rPr>
        <w:t xml:space="preserve"> (</w:t>
      </w:r>
      <w:r w:rsidR="003B7DB2">
        <w:rPr>
          <w:rFonts w:ascii="Verdana" w:hAnsi="Verdana"/>
          <w:sz w:val="24"/>
          <w:szCs w:val="24"/>
        </w:rPr>
        <w:t xml:space="preserve">mit 40 % </w:t>
      </w:r>
      <w:r w:rsidR="00BC71DD">
        <w:rPr>
          <w:rFonts w:ascii="Verdana" w:hAnsi="Verdana"/>
          <w:sz w:val="24"/>
          <w:szCs w:val="24"/>
        </w:rPr>
        <w:t>größte Aufwandsposition)</w:t>
      </w:r>
    </w:p>
    <w:p w:rsidR="00822CB9" w:rsidRDefault="00822CB9" w:rsidP="00822CB9">
      <w:pPr>
        <w:pStyle w:val="Listenabsatz"/>
        <w:spacing w:line="360" w:lineRule="auto"/>
        <w:ind w:left="1440"/>
        <w:jc w:val="both"/>
        <w:rPr>
          <w:rFonts w:ascii="Verdana" w:hAnsi="Verdana"/>
          <w:sz w:val="24"/>
          <w:szCs w:val="24"/>
        </w:rPr>
      </w:pPr>
    </w:p>
    <w:p w:rsidR="00477B65" w:rsidRDefault="00477B65" w:rsidP="00822CB9">
      <w:pPr>
        <w:pStyle w:val="Listenabsatz"/>
        <w:spacing w:line="360" w:lineRule="auto"/>
        <w:ind w:left="1440"/>
        <w:jc w:val="both"/>
        <w:rPr>
          <w:rFonts w:ascii="Verdana" w:hAnsi="Verdana"/>
          <w:sz w:val="24"/>
          <w:szCs w:val="24"/>
        </w:rPr>
      </w:pPr>
      <w:r>
        <w:rPr>
          <w:rFonts w:ascii="Verdana" w:hAnsi="Verdana"/>
          <w:sz w:val="24"/>
          <w:szCs w:val="24"/>
        </w:rPr>
        <w:t xml:space="preserve">Bei den sogenannten Transferaufwendungen wird für 2019 ein Jahresergebnis von 323.400.000 Euro und für 2020 von 327.100.000 Euro ausgegangen. Ab 2021 sollen die Transferaufwendungen erheblich ansteigen, und zwar auf jährlich zwischen 442.000.000 Euro und </w:t>
      </w:r>
      <w:r w:rsidR="00B732F3">
        <w:rPr>
          <w:rFonts w:ascii="Verdana" w:hAnsi="Verdana"/>
          <w:sz w:val="24"/>
          <w:szCs w:val="24"/>
        </w:rPr>
        <w:t>454.500.000 Euro. D</w:t>
      </w:r>
      <w:r w:rsidR="00AD4200">
        <w:rPr>
          <w:rFonts w:ascii="Verdana" w:hAnsi="Verdana"/>
          <w:sz w:val="24"/>
          <w:szCs w:val="24"/>
        </w:rPr>
        <w:t>ies erscheint</w:t>
      </w:r>
      <w:r w:rsidR="00822CB9">
        <w:rPr>
          <w:rFonts w:ascii="Verdana" w:hAnsi="Verdana"/>
          <w:sz w:val="24"/>
          <w:szCs w:val="24"/>
        </w:rPr>
        <w:t xml:space="preserve"> angesichts der Krefelder Sozialstruktur</w:t>
      </w:r>
      <w:r w:rsidR="00AD4200">
        <w:rPr>
          <w:rFonts w:ascii="Verdana" w:hAnsi="Verdana"/>
          <w:sz w:val="24"/>
          <w:szCs w:val="24"/>
        </w:rPr>
        <w:t xml:space="preserve"> </w:t>
      </w:r>
      <w:r w:rsidR="00B732F3">
        <w:rPr>
          <w:rFonts w:ascii="Verdana" w:hAnsi="Verdana"/>
          <w:sz w:val="24"/>
          <w:szCs w:val="24"/>
        </w:rPr>
        <w:t xml:space="preserve">gerade noch </w:t>
      </w:r>
      <w:r w:rsidR="00AD4200">
        <w:rPr>
          <w:rFonts w:ascii="Verdana" w:hAnsi="Verdana"/>
          <w:sz w:val="24"/>
          <w:szCs w:val="24"/>
        </w:rPr>
        <w:t>plausibel, wobei</w:t>
      </w:r>
      <w:r>
        <w:rPr>
          <w:rFonts w:ascii="Verdana" w:hAnsi="Verdana"/>
          <w:sz w:val="24"/>
          <w:szCs w:val="24"/>
        </w:rPr>
        <w:t xml:space="preserve"> zu berücksichtigen</w:t>
      </w:r>
      <w:r w:rsidR="00AD4200">
        <w:rPr>
          <w:rFonts w:ascii="Verdana" w:hAnsi="Verdana"/>
          <w:sz w:val="24"/>
          <w:szCs w:val="24"/>
        </w:rPr>
        <w:t xml:space="preserve"> ist</w:t>
      </w:r>
      <w:r>
        <w:rPr>
          <w:rFonts w:ascii="Verdana" w:hAnsi="Verdana"/>
          <w:sz w:val="24"/>
          <w:szCs w:val="24"/>
        </w:rPr>
        <w:t>, dass in diesen Transferaufwendungen auch die Zuschüsse an die städt</w:t>
      </w:r>
      <w:r w:rsidR="00AD4200">
        <w:rPr>
          <w:rFonts w:ascii="Verdana" w:hAnsi="Verdana"/>
          <w:sz w:val="24"/>
          <w:szCs w:val="24"/>
        </w:rPr>
        <w:t>ischen „Töchter“ enthalten sind (siehe nachfolgend).</w:t>
      </w:r>
    </w:p>
    <w:p w:rsidR="00477B65" w:rsidRDefault="00477B65" w:rsidP="00477B65">
      <w:pPr>
        <w:spacing w:line="360" w:lineRule="auto"/>
        <w:jc w:val="both"/>
        <w:rPr>
          <w:rFonts w:ascii="Verdana" w:hAnsi="Verdana"/>
          <w:sz w:val="24"/>
          <w:szCs w:val="24"/>
        </w:rPr>
      </w:pPr>
    </w:p>
    <w:p w:rsidR="00477B65" w:rsidRDefault="00477B65" w:rsidP="00477B65">
      <w:pPr>
        <w:pStyle w:val="Listenabsatz"/>
        <w:numPr>
          <w:ilvl w:val="0"/>
          <w:numId w:val="5"/>
        </w:numPr>
        <w:spacing w:line="360" w:lineRule="auto"/>
        <w:jc w:val="both"/>
        <w:rPr>
          <w:rFonts w:ascii="Verdana" w:hAnsi="Verdana"/>
          <w:sz w:val="24"/>
          <w:szCs w:val="24"/>
        </w:rPr>
      </w:pPr>
      <w:r>
        <w:rPr>
          <w:rFonts w:ascii="Verdana" w:hAnsi="Verdana"/>
          <w:sz w:val="24"/>
          <w:szCs w:val="24"/>
        </w:rPr>
        <w:t xml:space="preserve">Zuschüsse an </w:t>
      </w:r>
      <w:r w:rsidR="00D86BE2">
        <w:rPr>
          <w:rFonts w:ascii="Verdana" w:hAnsi="Verdana"/>
          <w:sz w:val="24"/>
          <w:szCs w:val="24"/>
        </w:rPr>
        <w:t>verbundene Unternehmen (städtische „Töchter“)</w:t>
      </w:r>
    </w:p>
    <w:p w:rsidR="00D86BE2" w:rsidRDefault="00D86BE2" w:rsidP="00D86BE2">
      <w:pPr>
        <w:pStyle w:val="Listenabsatz"/>
        <w:spacing w:line="360" w:lineRule="auto"/>
        <w:ind w:left="1440"/>
        <w:jc w:val="both"/>
        <w:rPr>
          <w:rFonts w:ascii="Verdana" w:hAnsi="Verdana"/>
          <w:sz w:val="24"/>
          <w:szCs w:val="24"/>
        </w:rPr>
      </w:pPr>
    </w:p>
    <w:p w:rsidR="00D86BE2" w:rsidRDefault="00D86BE2" w:rsidP="00D86BE2">
      <w:pPr>
        <w:pStyle w:val="Listenabsatz"/>
        <w:spacing w:line="360" w:lineRule="auto"/>
        <w:ind w:left="1440"/>
        <w:jc w:val="both"/>
        <w:rPr>
          <w:rFonts w:ascii="Verdana" w:hAnsi="Verdana"/>
          <w:sz w:val="24"/>
          <w:szCs w:val="24"/>
        </w:rPr>
      </w:pPr>
      <w:r>
        <w:rPr>
          <w:rFonts w:ascii="Verdana" w:hAnsi="Verdana"/>
          <w:sz w:val="24"/>
          <w:szCs w:val="24"/>
        </w:rPr>
        <w:t xml:space="preserve">Hier wird für 2019 </w:t>
      </w:r>
      <w:r w:rsidR="00AD4200">
        <w:rPr>
          <w:rFonts w:ascii="Verdana" w:hAnsi="Verdana"/>
          <w:sz w:val="24"/>
          <w:szCs w:val="24"/>
        </w:rPr>
        <w:t>ein Betrag in Höhe von 30.100.000</w:t>
      </w:r>
      <w:r>
        <w:rPr>
          <w:rFonts w:ascii="Verdana" w:hAnsi="Verdana"/>
          <w:sz w:val="24"/>
          <w:szCs w:val="24"/>
        </w:rPr>
        <w:t xml:space="preserve"> Euro prognostiziert, für 2021 von 27.100.000 Euro. Ab 2021 werden dann die </w:t>
      </w:r>
      <w:r>
        <w:rPr>
          <w:rFonts w:ascii="Verdana" w:hAnsi="Verdana"/>
          <w:sz w:val="24"/>
          <w:szCs w:val="24"/>
        </w:rPr>
        <w:lastRenderedPageBreak/>
        <w:t xml:space="preserve">Zuschüsse an verbundene Unternehmen auf jährlich </w:t>
      </w:r>
      <w:r w:rsidR="00AD4200">
        <w:rPr>
          <w:rFonts w:ascii="Verdana" w:hAnsi="Verdana"/>
          <w:sz w:val="24"/>
          <w:szCs w:val="24"/>
        </w:rPr>
        <w:t>zwischen 125.200.000 Euro und</w:t>
      </w:r>
      <w:r>
        <w:rPr>
          <w:rFonts w:ascii="Verdana" w:hAnsi="Verdana"/>
          <w:sz w:val="24"/>
          <w:szCs w:val="24"/>
        </w:rPr>
        <w:t xml:space="preserve"> 102.500.000 Euro ansteigen.</w:t>
      </w:r>
      <w:r w:rsidR="00AD4200">
        <w:rPr>
          <w:rFonts w:ascii="Verdana" w:hAnsi="Verdana"/>
          <w:sz w:val="24"/>
          <w:szCs w:val="24"/>
        </w:rPr>
        <w:t xml:space="preserve"> Auch dies erscheint plausibel.</w:t>
      </w:r>
      <w:r w:rsidR="00822CB9">
        <w:rPr>
          <w:rFonts w:ascii="Verdana" w:hAnsi="Verdana"/>
          <w:sz w:val="24"/>
          <w:szCs w:val="24"/>
        </w:rPr>
        <w:t xml:space="preserve"> Die Pandemie schlägt auch bei den städtischen Töchtern zu.</w:t>
      </w:r>
    </w:p>
    <w:p w:rsidR="00BC71DD" w:rsidRDefault="00BC71DD" w:rsidP="0047681E">
      <w:pPr>
        <w:pStyle w:val="Listenabsatz"/>
        <w:spacing w:line="360" w:lineRule="auto"/>
        <w:ind w:left="1440"/>
        <w:jc w:val="both"/>
        <w:rPr>
          <w:rFonts w:ascii="Verdana" w:hAnsi="Verdana"/>
          <w:sz w:val="24"/>
          <w:szCs w:val="24"/>
        </w:rPr>
      </w:pPr>
    </w:p>
    <w:p w:rsidR="00BC71DD" w:rsidRDefault="00BC71DD" w:rsidP="0047681E">
      <w:pPr>
        <w:pStyle w:val="Listenabsatz"/>
        <w:spacing w:line="360" w:lineRule="auto"/>
        <w:ind w:left="1440"/>
        <w:jc w:val="both"/>
        <w:rPr>
          <w:rFonts w:ascii="Verdana" w:hAnsi="Verdana"/>
          <w:sz w:val="24"/>
          <w:szCs w:val="24"/>
        </w:rPr>
      </w:pPr>
      <w:r>
        <w:rPr>
          <w:rFonts w:ascii="Verdana" w:hAnsi="Verdana"/>
          <w:sz w:val="24"/>
          <w:szCs w:val="24"/>
        </w:rPr>
        <w:t>-Personalaufwendungen (</w:t>
      </w:r>
      <w:r w:rsidR="003B7DB2">
        <w:rPr>
          <w:rFonts w:ascii="Verdana" w:hAnsi="Verdana"/>
          <w:sz w:val="24"/>
          <w:szCs w:val="24"/>
        </w:rPr>
        <w:t xml:space="preserve">mit 25 % </w:t>
      </w:r>
      <w:r>
        <w:rPr>
          <w:rFonts w:ascii="Verdana" w:hAnsi="Verdana"/>
          <w:sz w:val="24"/>
          <w:szCs w:val="24"/>
        </w:rPr>
        <w:t>zweitgrößte Aufwandsposition)</w:t>
      </w:r>
    </w:p>
    <w:p w:rsidR="0047681E" w:rsidRDefault="00EF3CCB" w:rsidP="0047681E">
      <w:pPr>
        <w:pStyle w:val="Listenabsatz"/>
        <w:spacing w:line="360" w:lineRule="auto"/>
        <w:ind w:left="1440"/>
        <w:jc w:val="both"/>
        <w:rPr>
          <w:rFonts w:ascii="Verdana" w:hAnsi="Verdana"/>
          <w:sz w:val="24"/>
          <w:szCs w:val="24"/>
        </w:rPr>
      </w:pPr>
      <w:r>
        <w:rPr>
          <w:rFonts w:ascii="Verdana" w:hAnsi="Verdana"/>
          <w:sz w:val="24"/>
          <w:szCs w:val="24"/>
        </w:rPr>
        <w:t>Die Steigerungsraten von 1 % a</w:t>
      </w:r>
      <w:r w:rsidR="0047681E">
        <w:rPr>
          <w:rFonts w:ascii="Verdana" w:hAnsi="Verdana"/>
          <w:sz w:val="24"/>
          <w:szCs w:val="24"/>
        </w:rPr>
        <w:t>nalog den Orien</w:t>
      </w:r>
      <w:r>
        <w:rPr>
          <w:rFonts w:ascii="Verdana" w:hAnsi="Verdana"/>
          <w:sz w:val="24"/>
          <w:szCs w:val="24"/>
        </w:rPr>
        <w:t>tierungsdaten</w:t>
      </w:r>
      <w:r w:rsidR="0047681E">
        <w:rPr>
          <w:rFonts w:ascii="Verdana" w:hAnsi="Verdana"/>
          <w:sz w:val="24"/>
          <w:szCs w:val="24"/>
        </w:rPr>
        <w:t xml:space="preserve"> des Landes sind unrealistisch. Aus Sicht des Haushaltes besteht kein Spielraum für </w:t>
      </w:r>
      <w:r>
        <w:rPr>
          <w:rFonts w:ascii="Verdana" w:hAnsi="Verdana"/>
          <w:sz w:val="24"/>
          <w:szCs w:val="24"/>
        </w:rPr>
        <w:t xml:space="preserve">neues </w:t>
      </w:r>
      <w:r w:rsidR="0047681E">
        <w:rPr>
          <w:rFonts w:ascii="Verdana" w:hAnsi="Verdana"/>
          <w:sz w:val="24"/>
          <w:szCs w:val="24"/>
        </w:rPr>
        <w:t>Personal.</w:t>
      </w:r>
    </w:p>
    <w:p w:rsidR="00BC71DD" w:rsidRDefault="00BC71DD" w:rsidP="00D86BE2">
      <w:pPr>
        <w:pStyle w:val="Listenabsatz"/>
        <w:spacing w:line="360" w:lineRule="auto"/>
        <w:ind w:left="1440"/>
        <w:jc w:val="both"/>
        <w:rPr>
          <w:rFonts w:ascii="Verdana" w:hAnsi="Verdana"/>
          <w:sz w:val="24"/>
          <w:szCs w:val="24"/>
        </w:rPr>
      </w:pPr>
    </w:p>
    <w:p w:rsidR="00D86BE2" w:rsidRDefault="00D86BE2" w:rsidP="00D86BE2">
      <w:pPr>
        <w:pStyle w:val="Listenabsatz"/>
        <w:spacing w:line="360" w:lineRule="auto"/>
        <w:ind w:left="1440"/>
        <w:jc w:val="both"/>
        <w:rPr>
          <w:rFonts w:ascii="Verdana" w:hAnsi="Verdana"/>
          <w:sz w:val="24"/>
          <w:szCs w:val="24"/>
        </w:rPr>
      </w:pPr>
    </w:p>
    <w:p w:rsidR="00D86BE2" w:rsidRPr="00AD4200" w:rsidRDefault="00D86BE2" w:rsidP="00AD4200">
      <w:pPr>
        <w:spacing w:line="360" w:lineRule="auto"/>
        <w:jc w:val="both"/>
        <w:rPr>
          <w:rFonts w:ascii="Verdana" w:hAnsi="Verdana"/>
          <w:sz w:val="24"/>
          <w:szCs w:val="24"/>
        </w:rPr>
      </w:pPr>
      <w:r w:rsidRPr="00AD4200">
        <w:rPr>
          <w:rFonts w:ascii="Verdana" w:hAnsi="Verdana"/>
          <w:sz w:val="24"/>
          <w:szCs w:val="24"/>
        </w:rPr>
        <w:t xml:space="preserve">Zusammenfassend lässt sich feststellen, dass sowohl hinsichtlich der Ertragsposition Gewerbesteuer als auch hinsichtlich der </w:t>
      </w:r>
      <w:r w:rsidR="000549B1">
        <w:rPr>
          <w:rFonts w:ascii="Verdana" w:hAnsi="Verdana"/>
          <w:sz w:val="24"/>
          <w:szCs w:val="24"/>
        </w:rPr>
        <w:t>Aufwandsp</w:t>
      </w:r>
      <w:r w:rsidRPr="00AD4200">
        <w:rPr>
          <w:rFonts w:ascii="Verdana" w:hAnsi="Verdana"/>
          <w:sz w:val="24"/>
          <w:szCs w:val="24"/>
        </w:rPr>
        <w:t>ositionen Transferaufwendungen und Zuschüsse an verbundene Unternehmen d</w:t>
      </w:r>
      <w:r w:rsidR="00B732F3">
        <w:rPr>
          <w:rFonts w:ascii="Verdana" w:hAnsi="Verdana"/>
          <w:sz w:val="24"/>
          <w:szCs w:val="24"/>
        </w:rPr>
        <w:t>ie vorgelegte Planung vertretbar ist</w:t>
      </w:r>
      <w:r w:rsidRPr="00AD4200">
        <w:rPr>
          <w:rFonts w:ascii="Verdana" w:hAnsi="Verdana"/>
          <w:sz w:val="24"/>
          <w:szCs w:val="24"/>
        </w:rPr>
        <w:t>.</w:t>
      </w:r>
      <w:r w:rsidR="00822CB9">
        <w:rPr>
          <w:rFonts w:ascii="Verdana" w:hAnsi="Verdana"/>
          <w:sz w:val="24"/>
          <w:szCs w:val="24"/>
        </w:rPr>
        <w:t xml:space="preserve"> Der Kämmerer scheint die pandemiebedingte Haushaltsl</w:t>
      </w:r>
      <w:r w:rsidR="00EF3CCB">
        <w:rPr>
          <w:rFonts w:ascii="Verdana" w:hAnsi="Verdana"/>
          <w:sz w:val="24"/>
          <w:szCs w:val="24"/>
        </w:rPr>
        <w:t>age weder zu unter- noch zu überschätzen.</w:t>
      </w:r>
      <w:r w:rsidR="002B31B2">
        <w:rPr>
          <w:rFonts w:ascii="Verdana" w:hAnsi="Verdana"/>
          <w:sz w:val="24"/>
          <w:szCs w:val="24"/>
        </w:rPr>
        <w:t xml:space="preserve"> Über d</w:t>
      </w:r>
      <w:r w:rsidR="00EF3CCB">
        <w:rPr>
          <w:rFonts w:ascii="Verdana" w:hAnsi="Verdana"/>
          <w:sz w:val="24"/>
          <w:szCs w:val="24"/>
        </w:rPr>
        <w:t>en Personalaufwendungen hängt das Damokles-</w:t>
      </w:r>
      <w:r w:rsidR="002B31B2">
        <w:rPr>
          <w:rFonts w:ascii="Verdana" w:hAnsi="Verdana"/>
          <w:sz w:val="24"/>
          <w:szCs w:val="24"/>
        </w:rPr>
        <w:t>Schwert zukünftiger Beamtenbesoldungs- und Tariferhöhungen.</w:t>
      </w:r>
    </w:p>
    <w:p w:rsidR="00D86BE2" w:rsidRDefault="00D86BE2" w:rsidP="00D86BE2">
      <w:pPr>
        <w:pStyle w:val="Listenabsatz"/>
        <w:spacing w:line="360" w:lineRule="auto"/>
        <w:ind w:left="1440"/>
        <w:jc w:val="both"/>
        <w:rPr>
          <w:rFonts w:ascii="Verdana" w:hAnsi="Verdana"/>
          <w:sz w:val="24"/>
          <w:szCs w:val="24"/>
        </w:rPr>
      </w:pPr>
    </w:p>
    <w:p w:rsidR="00D86BE2" w:rsidRPr="00AD4200" w:rsidRDefault="002B31B2" w:rsidP="00AD4200">
      <w:pPr>
        <w:spacing w:line="360" w:lineRule="auto"/>
        <w:jc w:val="both"/>
        <w:rPr>
          <w:rFonts w:ascii="Verdana" w:hAnsi="Verdana"/>
          <w:sz w:val="24"/>
          <w:szCs w:val="24"/>
        </w:rPr>
      </w:pPr>
      <w:r>
        <w:rPr>
          <w:rFonts w:ascii="Verdana" w:hAnsi="Verdana"/>
          <w:sz w:val="24"/>
          <w:szCs w:val="24"/>
        </w:rPr>
        <w:tab/>
        <w:t xml:space="preserve">7. </w:t>
      </w:r>
      <w:r w:rsidR="0047681E">
        <w:rPr>
          <w:rFonts w:ascii="Verdana" w:hAnsi="Verdana"/>
          <w:sz w:val="24"/>
          <w:szCs w:val="24"/>
        </w:rPr>
        <w:t xml:space="preserve">Ob </w:t>
      </w:r>
      <w:r>
        <w:rPr>
          <w:rFonts w:ascii="Verdana" w:hAnsi="Verdana"/>
          <w:sz w:val="24"/>
          <w:szCs w:val="24"/>
        </w:rPr>
        <w:t xml:space="preserve">die Planung insgesamt </w:t>
      </w:r>
      <w:r w:rsidR="00D86BE2" w:rsidRPr="00AD4200">
        <w:rPr>
          <w:rFonts w:ascii="Verdana" w:hAnsi="Verdana"/>
          <w:sz w:val="24"/>
          <w:szCs w:val="24"/>
        </w:rPr>
        <w:t xml:space="preserve">im Verlauf der </w:t>
      </w:r>
      <w:r>
        <w:rPr>
          <w:rFonts w:ascii="Verdana" w:hAnsi="Verdana"/>
          <w:sz w:val="24"/>
          <w:szCs w:val="24"/>
        </w:rPr>
        <w:tab/>
      </w:r>
      <w:r w:rsidR="00D86BE2" w:rsidRPr="00AD4200">
        <w:rPr>
          <w:rFonts w:ascii="Verdana" w:hAnsi="Verdana"/>
          <w:sz w:val="24"/>
          <w:szCs w:val="24"/>
        </w:rPr>
        <w:t xml:space="preserve">Haushaltsberatungen zu „halten“ sein </w:t>
      </w:r>
      <w:r>
        <w:rPr>
          <w:rFonts w:ascii="Verdana" w:hAnsi="Verdana"/>
          <w:sz w:val="24"/>
          <w:szCs w:val="24"/>
        </w:rPr>
        <w:tab/>
      </w:r>
      <w:r w:rsidR="00D86BE2" w:rsidRPr="00AD4200">
        <w:rPr>
          <w:rFonts w:ascii="Verdana" w:hAnsi="Verdana"/>
          <w:sz w:val="24"/>
          <w:szCs w:val="24"/>
        </w:rPr>
        <w:t xml:space="preserve">wird, </w:t>
      </w:r>
      <w:r>
        <w:rPr>
          <w:rFonts w:ascii="Verdana" w:hAnsi="Verdana"/>
          <w:sz w:val="24"/>
          <w:szCs w:val="24"/>
        </w:rPr>
        <w:tab/>
      </w:r>
      <w:r w:rsidR="00D86BE2" w:rsidRPr="00AD4200">
        <w:rPr>
          <w:rFonts w:ascii="Verdana" w:hAnsi="Verdana"/>
          <w:sz w:val="24"/>
          <w:szCs w:val="24"/>
        </w:rPr>
        <w:t xml:space="preserve">hängt </w:t>
      </w:r>
      <w:r>
        <w:rPr>
          <w:rFonts w:ascii="Verdana" w:hAnsi="Verdana"/>
          <w:sz w:val="24"/>
          <w:szCs w:val="24"/>
        </w:rPr>
        <w:tab/>
      </w:r>
      <w:r w:rsidR="0047681E">
        <w:rPr>
          <w:rFonts w:ascii="Verdana" w:hAnsi="Verdana"/>
          <w:sz w:val="24"/>
          <w:szCs w:val="24"/>
        </w:rPr>
        <w:t xml:space="preserve">auch </w:t>
      </w:r>
      <w:r w:rsidR="00D86BE2" w:rsidRPr="00AD4200">
        <w:rPr>
          <w:rFonts w:ascii="Verdana" w:hAnsi="Verdana"/>
          <w:sz w:val="24"/>
          <w:szCs w:val="24"/>
        </w:rPr>
        <w:t xml:space="preserve">davon ab, ob die Zuschüsse an </w:t>
      </w:r>
      <w:r>
        <w:rPr>
          <w:rFonts w:ascii="Verdana" w:hAnsi="Verdana"/>
          <w:sz w:val="24"/>
          <w:szCs w:val="24"/>
        </w:rPr>
        <w:tab/>
      </w:r>
      <w:r w:rsidR="00D86BE2" w:rsidRPr="00AD4200">
        <w:rPr>
          <w:rFonts w:ascii="Verdana" w:hAnsi="Verdana"/>
          <w:sz w:val="24"/>
          <w:szCs w:val="24"/>
        </w:rPr>
        <w:t xml:space="preserve">verbundene </w:t>
      </w:r>
      <w:r>
        <w:rPr>
          <w:rFonts w:ascii="Verdana" w:hAnsi="Verdana"/>
          <w:sz w:val="24"/>
          <w:szCs w:val="24"/>
        </w:rPr>
        <w:tab/>
      </w:r>
      <w:r w:rsidR="00D86BE2" w:rsidRPr="00AD4200">
        <w:rPr>
          <w:rFonts w:ascii="Verdana" w:hAnsi="Verdana"/>
          <w:sz w:val="24"/>
          <w:szCs w:val="24"/>
        </w:rPr>
        <w:t xml:space="preserve">Unternehmen nicht erhöht werden (müssen). </w:t>
      </w:r>
      <w:r>
        <w:rPr>
          <w:rFonts w:ascii="Verdana" w:hAnsi="Verdana"/>
          <w:sz w:val="24"/>
          <w:szCs w:val="24"/>
        </w:rPr>
        <w:tab/>
      </w:r>
      <w:r w:rsidR="00D86BE2" w:rsidRPr="00AD4200">
        <w:rPr>
          <w:rFonts w:ascii="Verdana" w:hAnsi="Verdana"/>
          <w:sz w:val="24"/>
          <w:szCs w:val="24"/>
        </w:rPr>
        <w:t xml:space="preserve">So hat z. </w:t>
      </w:r>
      <w:r>
        <w:rPr>
          <w:rFonts w:ascii="Verdana" w:hAnsi="Verdana"/>
          <w:sz w:val="24"/>
          <w:szCs w:val="24"/>
        </w:rPr>
        <w:tab/>
      </w:r>
      <w:r w:rsidR="00D86BE2" w:rsidRPr="00AD4200">
        <w:rPr>
          <w:rFonts w:ascii="Verdana" w:hAnsi="Verdana"/>
          <w:sz w:val="24"/>
          <w:szCs w:val="24"/>
        </w:rPr>
        <w:t xml:space="preserve">B. die Zoo gGmbH bereits den Wunsch geäußert, </w:t>
      </w:r>
      <w:r>
        <w:rPr>
          <w:rFonts w:ascii="Verdana" w:hAnsi="Verdana"/>
          <w:sz w:val="24"/>
          <w:szCs w:val="24"/>
        </w:rPr>
        <w:tab/>
      </w:r>
      <w:r w:rsidR="00D86BE2" w:rsidRPr="00AD4200">
        <w:rPr>
          <w:rFonts w:ascii="Verdana" w:hAnsi="Verdana"/>
          <w:sz w:val="24"/>
          <w:szCs w:val="24"/>
        </w:rPr>
        <w:t xml:space="preserve">dass </w:t>
      </w:r>
      <w:r>
        <w:rPr>
          <w:rFonts w:ascii="Verdana" w:hAnsi="Verdana"/>
          <w:sz w:val="24"/>
          <w:szCs w:val="24"/>
        </w:rPr>
        <w:tab/>
      </w:r>
      <w:r w:rsidR="00D86BE2" w:rsidRPr="00AD4200">
        <w:rPr>
          <w:rFonts w:ascii="Verdana" w:hAnsi="Verdana"/>
          <w:sz w:val="24"/>
          <w:szCs w:val="24"/>
        </w:rPr>
        <w:t>der Betriebskostenzuschuss der Stadt erhöht wird.</w:t>
      </w:r>
    </w:p>
    <w:p w:rsidR="00D86BE2" w:rsidRDefault="00D86BE2" w:rsidP="00D86BE2">
      <w:pPr>
        <w:spacing w:line="360" w:lineRule="auto"/>
        <w:jc w:val="both"/>
        <w:rPr>
          <w:rFonts w:ascii="Verdana" w:hAnsi="Verdana"/>
          <w:sz w:val="24"/>
          <w:szCs w:val="24"/>
        </w:rPr>
      </w:pPr>
    </w:p>
    <w:p w:rsidR="00822CB9" w:rsidRDefault="00822CB9" w:rsidP="00D86BE2">
      <w:pPr>
        <w:pStyle w:val="Listenabsatz"/>
        <w:spacing w:line="360" w:lineRule="auto"/>
        <w:jc w:val="both"/>
        <w:rPr>
          <w:rFonts w:ascii="Verdana" w:hAnsi="Verdana"/>
          <w:sz w:val="24"/>
          <w:szCs w:val="24"/>
        </w:rPr>
      </w:pPr>
      <w:r>
        <w:rPr>
          <w:rFonts w:ascii="Verdana" w:hAnsi="Verdana"/>
          <w:sz w:val="24"/>
          <w:szCs w:val="24"/>
        </w:rPr>
        <w:lastRenderedPageBreak/>
        <w:t xml:space="preserve">Für die Finanzergebnisse </w:t>
      </w:r>
      <w:r w:rsidR="00AD4200">
        <w:rPr>
          <w:rFonts w:ascii="Verdana" w:hAnsi="Verdana"/>
          <w:sz w:val="24"/>
          <w:szCs w:val="24"/>
        </w:rPr>
        <w:t>relevant ist</w:t>
      </w:r>
      <w:r w:rsidR="00D86BE2">
        <w:rPr>
          <w:rFonts w:ascii="Verdana" w:hAnsi="Verdana"/>
          <w:sz w:val="24"/>
          <w:szCs w:val="24"/>
        </w:rPr>
        <w:t>, ob die</w:t>
      </w:r>
      <w:r w:rsidR="00AD4200">
        <w:rPr>
          <w:rFonts w:ascii="Verdana" w:hAnsi="Verdana"/>
          <w:sz w:val="24"/>
          <w:szCs w:val="24"/>
        </w:rPr>
        <w:t xml:space="preserve"> zwei</w:t>
      </w:r>
      <w:r w:rsidR="00D86BE2">
        <w:rPr>
          <w:rFonts w:ascii="Verdana" w:hAnsi="Verdana"/>
          <w:sz w:val="24"/>
          <w:szCs w:val="24"/>
        </w:rPr>
        <w:t xml:space="preserve"> städtischen „Töchter“, die „ausschütten“, dies auch wirklich in dem im Entwurf unterstellten Umfang tun werden. Dies sind die Stadtwerke Krefeld und die Wohnstätte Krefeld. Im politischen Raum</w:t>
      </w:r>
      <w:r w:rsidR="000549B1">
        <w:rPr>
          <w:rFonts w:ascii="Verdana" w:hAnsi="Verdana"/>
          <w:sz w:val="24"/>
          <w:szCs w:val="24"/>
        </w:rPr>
        <w:t>,</w:t>
      </w:r>
      <w:r w:rsidR="00D86BE2">
        <w:rPr>
          <w:rFonts w:ascii="Verdana" w:hAnsi="Verdana"/>
          <w:sz w:val="24"/>
          <w:szCs w:val="24"/>
        </w:rPr>
        <w:t xml:space="preserve"> aber auch im Aufsichtsr</w:t>
      </w:r>
      <w:r w:rsidR="00AD4200">
        <w:rPr>
          <w:rFonts w:ascii="Verdana" w:hAnsi="Verdana"/>
          <w:sz w:val="24"/>
          <w:szCs w:val="24"/>
        </w:rPr>
        <w:t>at der Wohnstätte werden</w:t>
      </w:r>
      <w:r w:rsidR="00D86BE2">
        <w:rPr>
          <w:rFonts w:ascii="Verdana" w:hAnsi="Verdana"/>
          <w:sz w:val="24"/>
          <w:szCs w:val="24"/>
        </w:rPr>
        <w:t xml:space="preserve"> Diskussionen darüber geführt, ob die </w:t>
      </w:r>
      <w:r w:rsidR="00AD4200">
        <w:rPr>
          <w:rFonts w:ascii="Verdana" w:hAnsi="Verdana"/>
          <w:sz w:val="24"/>
          <w:szCs w:val="24"/>
        </w:rPr>
        <w:t>„</w:t>
      </w:r>
      <w:r w:rsidR="00D86BE2">
        <w:rPr>
          <w:rFonts w:ascii="Verdana" w:hAnsi="Verdana"/>
          <w:sz w:val="24"/>
          <w:szCs w:val="24"/>
        </w:rPr>
        <w:t>Ausschüttung</w:t>
      </w:r>
      <w:r w:rsidR="00AD4200">
        <w:rPr>
          <w:rFonts w:ascii="Verdana" w:hAnsi="Verdana"/>
          <w:sz w:val="24"/>
          <w:szCs w:val="24"/>
        </w:rPr>
        <w:t>“</w:t>
      </w:r>
      <w:r w:rsidR="000549B1">
        <w:rPr>
          <w:rFonts w:ascii="Verdana" w:hAnsi="Verdana"/>
          <w:sz w:val="24"/>
          <w:szCs w:val="24"/>
        </w:rPr>
        <w:t xml:space="preserve"> der Wohnstätte an den</w:t>
      </w:r>
      <w:r w:rsidR="00D86BE2">
        <w:rPr>
          <w:rFonts w:ascii="Verdana" w:hAnsi="Verdana"/>
          <w:sz w:val="24"/>
          <w:szCs w:val="24"/>
        </w:rPr>
        <w:t xml:space="preserve"> städtischen Haushalt in der bisherige</w:t>
      </w:r>
      <w:r w:rsidR="00AD4200">
        <w:rPr>
          <w:rFonts w:ascii="Verdana" w:hAnsi="Verdana"/>
          <w:sz w:val="24"/>
          <w:szCs w:val="24"/>
        </w:rPr>
        <w:t>n Höhe fortgeführt werden kann</w:t>
      </w:r>
      <w:r w:rsidR="00D86BE2">
        <w:rPr>
          <w:rFonts w:ascii="Verdana" w:hAnsi="Verdana"/>
          <w:sz w:val="24"/>
          <w:szCs w:val="24"/>
        </w:rPr>
        <w:t>. Reduzierungen solcher „Ausschüttungen“ würden sich aber negativ auf das Finanzergebnis auswirken.</w:t>
      </w:r>
      <w:r w:rsidR="00AD4200">
        <w:rPr>
          <w:rFonts w:ascii="Verdana" w:hAnsi="Verdana"/>
          <w:sz w:val="24"/>
          <w:szCs w:val="24"/>
        </w:rPr>
        <w:t xml:space="preserve"> </w:t>
      </w:r>
    </w:p>
    <w:p w:rsidR="00822CB9" w:rsidRDefault="00822CB9" w:rsidP="00D86BE2">
      <w:pPr>
        <w:pStyle w:val="Listenabsatz"/>
        <w:spacing w:line="360" w:lineRule="auto"/>
        <w:jc w:val="both"/>
        <w:rPr>
          <w:rFonts w:ascii="Verdana" w:hAnsi="Verdana"/>
          <w:sz w:val="24"/>
          <w:szCs w:val="24"/>
        </w:rPr>
      </w:pPr>
    </w:p>
    <w:p w:rsidR="00D86BE2" w:rsidRDefault="00AD4200" w:rsidP="00D86BE2">
      <w:pPr>
        <w:pStyle w:val="Listenabsatz"/>
        <w:spacing w:line="360" w:lineRule="auto"/>
        <w:jc w:val="both"/>
        <w:rPr>
          <w:rFonts w:ascii="Verdana" w:hAnsi="Verdana"/>
          <w:sz w:val="24"/>
          <w:szCs w:val="24"/>
        </w:rPr>
      </w:pPr>
      <w:r>
        <w:rPr>
          <w:rFonts w:ascii="Verdana" w:hAnsi="Verdana"/>
          <w:sz w:val="24"/>
          <w:szCs w:val="24"/>
        </w:rPr>
        <w:t>Eine weitere Ungewissheit geht von den Abwassergebühren aus, mit denen auch der Haushalt mittelbar finanziert wird.</w:t>
      </w:r>
      <w:r w:rsidR="003B7DB2">
        <w:rPr>
          <w:rFonts w:ascii="Verdana" w:hAnsi="Verdana"/>
          <w:sz w:val="24"/>
          <w:szCs w:val="24"/>
        </w:rPr>
        <w:t xml:space="preserve"> Bilanzgewinne aus den Abwassergebühren fließen dem allgemeinen Haushalt zu. Sie resultieren aus dem nicht marktkonformen kalkulatorischen Zinsen.</w:t>
      </w:r>
    </w:p>
    <w:p w:rsidR="00EF3CCB" w:rsidRDefault="00EF3CCB" w:rsidP="00D86BE2">
      <w:pPr>
        <w:pStyle w:val="Listenabsatz"/>
        <w:spacing w:line="360" w:lineRule="auto"/>
        <w:jc w:val="both"/>
        <w:rPr>
          <w:rFonts w:ascii="Verdana" w:hAnsi="Verdana"/>
          <w:sz w:val="24"/>
          <w:szCs w:val="24"/>
        </w:rPr>
      </w:pPr>
    </w:p>
    <w:p w:rsidR="00EF3CCB" w:rsidRDefault="00EF3CCB" w:rsidP="00D86BE2">
      <w:pPr>
        <w:pStyle w:val="Listenabsatz"/>
        <w:spacing w:line="360" w:lineRule="auto"/>
        <w:jc w:val="both"/>
        <w:rPr>
          <w:rFonts w:ascii="Verdana" w:hAnsi="Verdana"/>
          <w:sz w:val="24"/>
          <w:szCs w:val="24"/>
        </w:rPr>
      </w:pPr>
      <w:r>
        <w:rPr>
          <w:rFonts w:ascii="Verdana" w:hAnsi="Verdana"/>
          <w:sz w:val="24"/>
          <w:szCs w:val="24"/>
        </w:rPr>
        <w:t>Erhöhte Personalaufwendungen, sei es durch Beamtenbesoldungs- und Tariferhöhungen, sei es durch neues Personal, könnten den Haushaltsausgleich gefährden.</w:t>
      </w:r>
    </w:p>
    <w:p w:rsidR="00D86BE2" w:rsidRDefault="00D86BE2" w:rsidP="00D86BE2">
      <w:pPr>
        <w:pStyle w:val="Listenabsatz"/>
        <w:spacing w:line="360" w:lineRule="auto"/>
        <w:jc w:val="both"/>
        <w:rPr>
          <w:rFonts w:ascii="Verdana" w:hAnsi="Verdana"/>
          <w:sz w:val="24"/>
          <w:szCs w:val="24"/>
        </w:rPr>
      </w:pPr>
    </w:p>
    <w:p w:rsidR="006F3149" w:rsidRDefault="006F3149" w:rsidP="00D86BE2">
      <w:pPr>
        <w:pStyle w:val="Listenabsatz"/>
        <w:spacing w:line="360" w:lineRule="auto"/>
        <w:jc w:val="both"/>
        <w:rPr>
          <w:rFonts w:ascii="Verdana" w:hAnsi="Verdana"/>
          <w:sz w:val="24"/>
          <w:szCs w:val="24"/>
        </w:rPr>
      </w:pPr>
    </w:p>
    <w:p w:rsidR="00D86BE2" w:rsidRDefault="00822CB9" w:rsidP="00D86BE2">
      <w:pPr>
        <w:pStyle w:val="Listenabsatz"/>
        <w:spacing w:line="360" w:lineRule="auto"/>
        <w:jc w:val="both"/>
        <w:rPr>
          <w:rFonts w:ascii="Verdana" w:hAnsi="Verdana"/>
          <w:sz w:val="24"/>
          <w:szCs w:val="24"/>
        </w:rPr>
      </w:pPr>
      <w:r>
        <w:rPr>
          <w:rFonts w:ascii="Verdana" w:hAnsi="Verdana"/>
          <w:sz w:val="24"/>
          <w:szCs w:val="24"/>
        </w:rPr>
        <w:t>8</w:t>
      </w:r>
      <w:r w:rsidR="00D86BE2">
        <w:rPr>
          <w:rFonts w:ascii="Verdana" w:hAnsi="Verdana"/>
          <w:sz w:val="24"/>
          <w:szCs w:val="24"/>
        </w:rPr>
        <w:t xml:space="preserve">. Investitionsschwerpunkte sind nach dem vorgelegten Entwurf </w:t>
      </w:r>
    </w:p>
    <w:p w:rsidR="00D86BE2" w:rsidRDefault="00D86BE2" w:rsidP="00D86BE2">
      <w:pPr>
        <w:pStyle w:val="Listenabsatz"/>
        <w:spacing w:line="360" w:lineRule="auto"/>
        <w:jc w:val="both"/>
        <w:rPr>
          <w:rFonts w:ascii="Verdana" w:hAnsi="Verdana"/>
          <w:sz w:val="24"/>
          <w:szCs w:val="24"/>
        </w:rPr>
      </w:pPr>
    </w:p>
    <w:p w:rsidR="00D86BE2" w:rsidRDefault="00D86BE2" w:rsidP="00D86BE2">
      <w:pPr>
        <w:pStyle w:val="Listenabsatz"/>
        <w:numPr>
          <w:ilvl w:val="0"/>
          <w:numId w:val="7"/>
        </w:numPr>
        <w:spacing w:line="360" w:lineRule="auto"/>
        <w:jc w:val="both"/>
        <w:rPr>
          <w:rFonts w:ascii="Verdana" w:hAnsi="Verdana"/>
          <w:sz w:val="24"/>
          <w:szCs w:val="24"/>
        </w:rPr>
      </w:pPr>
      <w:r>
        <w:rPr>
          <w:rFonts w:ascii="Verdana" w:hAnsi="Verdana"/>
          <w:sz w:val="24"/>
          <w:szCs w:val="24"/>
        </w:rPr>
        <w:t>Schulen (Sanierung, Neubau, Digitalisierung)</w:t>
      </w:r>
    </w:p>
    <w:p w:rsidR="00D86BE2" w:rsidRDefault="00D86BE2" w:rsidP="00D86BE2">
      <w:pPr>
        <w:pStyle w:val="Listenabsatz"/>
        <w:numPr>
          <w:ilvl w:val="0"/>
          <w:numId w:val="7"/>
        </w:numPr>
        <w:spacing w:line="360" w:lineRule="auto"/>
        <w:jc w:val="both"/>
        <w:rPr>
          <w:rFonts w:ascii="Verdana" w:hAnsi="Verdana"/>
          <w:sz w:val="24"/>
          <w:szCs w:val="24"/>
        </w:rPr>
      </w:pPr>
      <w:r>
        <w:rPr>
          <w:rFonts w:ascii="Verdana" w:hAnsi="Verdana"/>
          <w:sz w:val="24"/>
          <w:szCs w:val="24"/>
        </w:rPr>
        <w:t>Kindergartenplätze (Ausbau und Neubau)</w:t>
      </w:r>
    </w:p>
    <w:p w:rsidR="00D86BE2" w:rsidRDefault="00D86BE2" w:rsidP="00D86BE2">
      <w:pPr>
        <w:pStyle w:val="Listenabsatz"/>
        <w:numPr>
          <w:ilvl w:val="0"/>
          <w:numId w:val="7"/>
        </w:numPr>
        <w:spacing w:line="360" w:lineRule="auto"/>
        <w:jc w:val="both"/>
        <w:rPr>
          <w:rFonts w:ascii="Verdana" w:hAnsi="Verdana"/>
          <w:sz w:val="24"/>
          <w:szCs w:val="24"/>
        </w:rPr>
      </w:pPr>
      <w:r>
        <w:rPr>
          <w:rFonts w:ascii="Verdana" w:hAnsi="Verdana"/>
          <w:sz w:val="24"/>
          <w:szCs w:val="24"/>
        </w:rPr>
        <w:t>Sanierung von Straßen, Radwegen und Plätzen</w:t>
      </w:r>
    </w:p>
    <w:p w:rsidR="00D86BE2" w:rsidRDefault="00D86BE2" w:rsidP="00D86BE2">
      <w:pPr>
        <w:pStyle w:val="Listenabsatz"/>
        <w:numPr>
          <w:ilvl w:val="0"/>
          <w:numId w:val="7"/>
        </w:numPr>
        <w:spacing w:line="360" w:lineRule="auto"/>
        <w:jc w:val="both"/>
        <w:rPr>
          <w:rFonts w:ascii="Verdana" w:hAnsi="Verdana"/>
          <w:sz w:val="24"/>
          <w:szCs w:val="24"/>
        </w:rPr>
      </w:pPr>
      <w:r>
        <w:rPr>
          <w:rFonts w:ascii="Verdana" w:hAnsi="Verdana"/>
          <w:sz w:val="24"/>
          <w:szCs w:val="24"/>
        </w:rPr>
        <w:t>Sanierung von Sportstätten.</w:t>
      </w:r>
    </w:p>
    <w:p w:rsidR="00D86BE2" w:rsidRDefault="00D86BE2" w:rsidP="00D86BE2">
      <w:pPr>
        <w:spacing w:line="360" w:lineRule="auto"/>
        <w:ind w:left="708"/>
        <w:jc w:val="both"/>
        <w:rPr>
          <w:rFonts w:ascii="Verdana" w:hAnsi="Verdana"/>
          <w:sz w:val="24"/>
          <w:szCs w:val="24"/>
        </w:rPr>
      </w:pPr>
      <w:r>
        <w:rPr>
          <w:rFonts w:ascii="Verdana" w:hAnsi="Verdana"/>
          <w:sz w:val="24"/>
          <w:szCs w:val="24"/>
        </w:rPr>
        <w:lastRenderedPageBreak/>
        <w:t>Die unter diesen Investitionsschwerpunkten</w:t>
      </w:r>
      <w:r w:rsidR="00EA34DA">
        <w:rPr>
          <w:rFonts w:ascii="Verdana" w:hAnsi="Verdana"/>
          <w:sz w:val="24"/>
          <w:szCs w:val="24"/>
        </w:rPr>
        <w:t xml:space="preserve"> für 2021</w:t>
      </w:r>
      <w:r>
        <w:rPr>
          <w:rFonts w:ascii="Verdana" w:hAnsi="Verdana"/>
          <w:sz w:val="24"/>
          <w:szCs w:val="24"/>
        </w:rPr>
        <w:t xml:space="preserve"> aufgeführten Einzelvorhaben sind plausibel</w:t>
      </w:r>
      <w:r w:rsidR="00822CB9">
        <w:rPr>
          <w:rFonts w:ascii="Verdana" w:hAnsi="Verdana"/>
          <w:sz w:val="24"/>
          <w:szCs w:val="24"/>
        </w:rPr>
        <w:t xml:space="preserve"> (</w:t>
      </w:r>
      <w:r w:rsidR="002C6C31">
        <w:rPr>
          <w:rFonts w:ascii="Verdana" w:hAnsi="Verdana"/>
          <w:sz w:val="24"/>
          <w:szCs w:val="24"/>
        </w:rPr>
        <w:t>bis</w:t>
      </w:r>
      <w:r w:rsidR="00822CB9">
        <w:rPr>
          <w:rFonts w:ascii="Verdana" w:hAnsi="Verdana"/>
          <w:sz w:val="24"/>
          <w:szCs w:val="24"/>
        </w:rPr>
        <w:t xml:space="preserve"> auf die unrealistischen 10,5 Mio. Euro für das </w:t>
      </w:r>
      <w:proofErr w:type="spellStart"/>
      <w:r w:rsidR="00822CB9">
        <w:rPr>
          <w:rFonts w:ascii="Verdana" w:hAnsi="Verdana"/>
          <w:sz w:val="24"/>
          <w:szCs w:val="24"/>
        </w:rPr>
        <w:t>Grotenburg</w:t>
      </w:r>
      <w:proofErr w:type="spellEnd"/>
      <w:r w:rsidR="002C6C31">
        <w:rPr>
          <w:rFonts w:ascii="Verdana" w:hAnsi="Verdana"/>
          <w:sz w:val="24"/>
          <w:szCs w:val="24"/>
        </w:rPr>
        <w:t>-Fußball</w:t>
      </w:r>
      <w:r w:rsidR="00822CB9">
        <w:rPr>
          <w:rFonts w:ascii="Verdana" w:hAnsi="Verdana"/>
          <w:sz w:val="24"/>
          <w:szCs w:val="24"/>
        </w:rPr>
        <w:t>stadion)</w:t>
      </w:r>
      <w:r>
        <w:rPr>
          <w:rFonts w:ascii="Verdana" w:hAnsi="Verdana"/>
          <w:sz w:val="24"/>
          <w:szCs w:val="24"/>
        </w:rPr>
        <w:t>, bedürfen jedoch</w:t>
      </w:r>
      <w:r w:rsidR="00EA34DA">
        <w:rPr>
          <w:rFonts w:ascii="Verdana" w:hAnsi="Verdana"/>
          <w:sz w:val="24"/>
          <w:szCs w:val="24"/>
        </w:rPr>
        <w:t xml:space="preserve"> perspektivisch</w:t>
      </w:r>
      <w:r>
        <w:rPr>
          <w:rFonts w:ascii="Verdana" w:hAnsi="Verdana"/>
          <w:sz w:val="24"/>
          <w:szCs w:val="24"/>
        </w:rPr>
        <w:t xml:space="preserve"> folgender „Ergänzungen“:</w:t>
      </w:r>
    </w:p>
    <w:p w:rsidR="00D86BE2" w:rsidRDefault="00D86BE2" w:rsidP="00D86BE2">
      <w:pPr>
        <w:spacing w:line="360" w:lineRule="auto"/>
        <w:ind w:left="708"/>
        <w:jc w:val="both"/>
        <w:rPr>
          <w:rFonts w:ascii="Verdana" w:hAnsi="Verdana"/>
          <w:sz w:val="24"/>
          <w:szCs w:val="24"/>
        </w:rPr>
      </w:pPr>
    </w:p>
    <w:p w:rsidR="00D86BE2" w:rsidRDefault="00EA34DA" w:rsidP="000723B8">
      <w:pPr>
        <w:pStyle w:val="Listenabsatz"/>
        <w:numPr>
          <w:ilvl w:val="0"/>
          <w:numId w:val="10"/>
        </w:numPr>
        <w:spacing w:line="360" w:lineRule="auto"/>
        <w:jc w:val="both"/>
        <w:rPr>
          <w:rFonts w:ascii="Verdana" w:hAnsi="Verdana"/>
          <w:sz w:val="24"/>
          <w:szCs w:val="24"/>
        </w:rPr>
      </w:pPr>
      <w:r w:rsidRPr="000723B8">
        <w:rPr>
          <w:rFonts w:ascii="Verdana" w:hAnsi="Verdana"/>
          <w:sz w:val="24"/>
          <w:szCs w:val="24"/>
        </w:rPr>
        <w:t>Es besteht</w:t>
      </w:r>
      <w:r w:rsidR="000549B1" w:rsidRPr="000723B8">
        <w:rPr>
          <w:rFonts w:ascii="Verdana" w:hAnsi="Verdana"/>
          <w:sz w:val="24"/>
          <w:szCs w:val="24"/>
        </w:rPr>
        <w:t xml:space="preserve"> ein</w:t>
      </w:r>
      <w:r w:rsidRPr="000723B8">
        <w:rPr>
          <w:rFonts w:ascii="Verdana" w:hAnsi="Verdana"/>
          <w:sz w:val="24"/>
          <w:szCs w:val="24"/>
        </w:rPr>
        <w:t xml:space="preserve"> kaum weiter</w:t>
      </w:r>
      <w:r w:rsidR="000C5E0D" w:rsidRPr="000723B8">
        <w:rPr>
          <w:rFonts w:ascii="Verdana" w:hAnsi="Verdana"/>
          <w:sz w:val="24"/>
          <w:szCs w:val="24"/>
        </w:rPr>
        <w:t xml:space="preserve"> aufschiebbarer Investitions- / Neubaubedarf in Bezug auf das Badezentrum Bockum und die beiden Eissporthalle</w:t>
      </w:r>
      <w:r w:rsidR="000723B8">
        <w:rPr>
          <w:rFonts w:ascii="Verdana" w:hAnsi="Verdana"/>
          <w:sz w:val="24"/>
          <w:szCs w:val="24"/>
        </w:rPr>
        <w:t>n</w:t>
      </w:r>
      <w:r w:rsidR="000C5E0D" w:rsidRPr="000723B8">
        <w:rPr>
          <w:rFonts w:ascii="Verdana" w:hAnsi="Verdana"/>
          <w:sz w:val="24"/>
          <w:szCs w:val="24"/>
        </w:rPr>
        <w:t xml:space="preserve"> (Rheinlandhalle und Rittbergerhalle).</w:t>
      </w:r>
    </w:p>
    <w:p w:rsidR="000723B8" w:rsidRPr="000723B8" w:rsidRDefault="000723B8" w:rsidP="000723B8">
      <w:pPr>
        <w:pStyle w:val="Listenabsatz"/>
        <w:spacing w:line="360" w:lineRule="auto"/>
        <w:jc w:val="both"/>
        <w:rPr>
          <w:rFonts w:ascii="Verdana" w:hAnsi="Verdana"/>
          <w:sz w:val="24"/>
          <w:szCs w:val="24"/>
        </w:rPr>
      </w:pPr>
    </w:p>
    <w:p w:rsidR="002C6C31" w:rsidRDefault="000C5E0D" w:rsidP="000723B8">
      <w:pPr>
        <w:pStyle w:val="Listenabsatz"/>
        <w:numPr>
          <w:ilvl w:val="0"/>
          <w:numId w:val="10"/>
        </w:numPr>
        <w:spacing w:line="360" w:lineRule="auto"/>
        <w:jc w:val="both"/>
        <w:rPr>
          <w:rFonts w:ascii="Verdana" w:hAnsi="Verdana"/>
          <w:sz w:val="24"/>
          <w:szCs w:val="24"/>
        </w:rPr>
      </w:pPr>
      <w:r w:rsidRPr="000723B8">
        <w:rPr>
          <w:rFonts w:ascii="Verdana" w:hAnsi="Verdana"/>
          <w:sz w:val="24"/>
          <w:szCs w:val="24"/>
        </w:rPr>
        <w:t>Die Bereitstellung zusätzlicher Ge</w:t>
      </w:r>
      <w:r w:rsidR="00EA34DA" w:rsidRPr="000723B8">
        <w:rPr>
          <w:rFonts w:ascii="Verdana" w:hAnsi="Verdana"/>
          <w:sz w:val="24"/>
          <w:szCs w:val="24"/>
        </w:rPr>
        <w:t>werbeflächen (Ankauf durch den s</w:t>
      </w:r>
      <w:r w:rsidRPr="000723B8">
        <w:rPr>
          <w:rFonts w:ascii="Verdana" w:hAnsi="Verdana"/>
          <w:sz w:val="24"/>
          <w:szCs w:val="24"/>
        </w:rPr>
        <w:t>tädtischen Liegenschaftsetat und Entwicklung durch die Grundstücksgesellschaft) hat nicht nur für das gewünschte Gewerbegebiet nördlich und südlich der A 44 höchste Priorität.</w:t>
      </w:r>
    </w:p>
    <w:p w:rsidR="000723B8" w:rsidRPr="000723B8" w:rsidRDefault="000723B8" w:rsidP="000723B8">
      <w:pPr>
        <w:pStyle w:val="Listenabsatz"/>
        <w:spacing w:line="360" w:lineRule="auto"/>
        <w:jc w:val="both"/>
        <w:rPr>
          <w:rFonts w:ascii="Verdana" w:hAnsi="Verdana"/>
          <w:sz w:val="24"/>
          <w:szCs w:val="24"/>
        </w:rPr>
      </w:pPr>
    </w:p>
    <w:p w:rsidR="000C5E0D" w:rsidRPr="000723B8" w:rsidRDefault="000C5E0D" w:rsidP="000723B8">
      <w:pPr>
        <w:pStyle w:val="Listenabsatz"/>
        <w:numPr>
          <w:ilvl w:val="0"/>
          <w:numId w:val="10"/>
        </w:numPr>
        <w:spacing w:line="360" w:lineRule="auto"/>
        <w:jc w:val="both"/>
        <w:rPr>
          <w:rFonts w:ascii="Verdana" w:hAnsi="Verdana"/>
          <w:sz w:val="24"/>
          <w:szCs w:val="24"/>
        </w:rPr>
      </w:pPr>
      <w:r w:rsidRPr="000723B8">
        <w:rPr>
          <w:rFonts w:ascii="Verdana" w:hAnsi="Verdana"/>
          <w:sz w:val="24"/>
          <w:szCs w:val="24"/>
        </w:rPr>
        <w:t xml:space="preserve">Der </w:t>
      </w:r>
      <w:r w:rsidR="000908A4" w:rsidRPr="000723B8">
        <w:rPr>
          <w:rFonts w:ascii="Verdana" w:hAnsi="Verdana"/>
          <w:sz w:val="24"/>
          <w:szCs w:val="24"/>
        </w:rPr>
        <w:t>Relaunch</w:t>
      </w:r>
      <w:r w:rsidRPr="000723B8">
        <w:rPr>
          <w:rFonts w:ascii="Verdana" w:hAnsi="Verdana"/>
          <w:sz w:val="24"/>
          <w:szCs w:val="24"/>
        </w:rPr>
        <w:t xml:space="preserve"> der Krefelder City (Gebiet zwischen den Ringen) nach dem Ab</w:t>
      </w:r>
      <w:r w:rsidR="00EA34DA" w:rsidRPr="000723B8">
        <w:rPr>
          <w:rFonts w:ascii="Verdana" w:hAnsi="Verdana"/>
          <w:sz w:val="24"/>
          <w:szCs w:val="24"/>
        </w:rPr>
        <w:t>klingen der Pandemie wird ohne s</w:t>
      </w:r>
      <w:r w:rsidRPr="000723B8">
        <w:rPr>
          <w:rFonts w:ascii="Verdana" w:hAnsi="Verdana"/>
          <w:sz w:val="24"/>
          <w:szCs w:val="24"/>
        </w:rPr>
        <w:t>tädtische Investitionen nicht gelingen. Angesagt ist ein Mix von (all</w:t>
      </w:r>
      <w:r w:rsidR="00EA34DA" w:rsidRPr="000723B8">
        <w:rPr>
          <w:rFonts w:ascii="Verdana" w:hAnsi="Verdana"/>
          <w:sz w:val="24"/>
          <w:szCs w:val="24"/>
        </w:rPr>
        <w:t>erdings erheblich zurückgehendem</w:t>
      </w:r>
      <w:r w:rsidRPr="000723B8">
        <w:rPr>
          <w:rFonts w:ascii="Verdana" w:hAnsi="Verdana"/>
          <w:sz w:val="24"/>
          <w:szCs w:val="24"/>
        </w:rPr>
        <w:t xml:space="preserve">) Handel, preiswertem Wohnen (mit Hilfe der Wohnstätte bei gleichzeitig gelockertem Planungsrecht), „Flair“ (Plätze, Straßenbegleitgrün), Gastronomie und Veranstaltungen (die Veranstaltungshalle gehört in die Stadtmitte!). Gerrit Heinemanns, Prof. für Managementlehre und Handel an der Hochschule Niederrhein, hat Recht: Gerade in Städten </w:t>
      </w:r>
      <w:r w:rsidR="00EA34DA" w:rsidRPr="000723B8">
        <w:rPr>
          <w:rFonts w:ascii="Verdana" w:hAnsi="Verdana"/>
          <w:sz w:val="24"/>
          <w:szCs w:val="24"/>
        </w:rPr>
        <w:t>mit einer Ansammlung von Mittelz</w:t>
      </w:r>
      <w:r w:rsidRPr="000723B8">
        <w:rPr>
          <w:rFonts w:ascii="Verdana" w:hAnsi="Verdana"/>
          <w:sz w:val="24"/>
          <w:szCs w:val="24"/>
        </w:rPr>
        <w:t>entren (wie Krefeld) läuft der Einzelhandel Gefahr „zerfleddert“ zu werden, da nicht mehr genug K</w:t>
      </w:r>
      <w:r w:rsidR="002C6C31" w:rsidRPr="000723B8">
        <w:rPr>
          <w:rFonts w:ascii="Verdana" w:hAnsi="Verdana"/>
          <w:sz w:val="24"/>
          <w:szCs w:val="24"/>
        </w:rPr>
        <w:t>unden und damit Umsatz nach der Pa</w:t>
      </w:r>
      <w:r w:rsidR="000723B8">
        <w:rPr>
          <w:rFonts w:ascii="Verdana" w:hAnsi="Verdana"/>
          <w:sz w:val="24"/>
          <w:szCs w:val="24"/>
        </w:rPr>
        <w:t>ndemie „zurückkommen“ werden. Er</w:t>
      </w:r>
      <w:r w:rsidRPr="000723B8">
        <w:rPr>
          <w:rFonts w:ascii="Verdana" w:hAnsi="Verdana"/>
          <w:sz w:val="24"/>
          <w:szCs w:val="24"/>
        </w:rPr>
        <w:t xml:space="preserve"> plädiert deshalb dafür, den Einzelhandel in </w:t>
      </w:r>
      <w:r w:rsidRPr="000723B8">
        <w:rPr>
          <w:rFonts w:ascii="Verdana" w:hAnsi="Verdana"/>
          <w:sz w:val="24"/>
          <w:szCs w:val="24"/>
          <w:u w:val="single"/>
        </w:rPr>
        <w:t>einem</w:t>
      </w:r>
      <w:r w:rsidRPr="000723B8">
        <w:rPr>
          <w:rFonts w:ascii="Verdana" w:hAnsi="Verdana"/>
          <w:sz w:val="24"/>
          <w:szCs w:val="24"/>
        </w:rPr>
        <w:t xml:space="preserve"> Zentrum zu </w:t>
      </w:r>
      <w:r w:rsidRPr="000723B8">
        <w:rPr>
          <w:rFonts w:ascii="Verdana" w:hAnsi="Verdana"/>
          <w:sz w:val="24"/>
          <w:szCs w:val="24"/>
        </w:rPr>
        <w:lastRenderedPageBreak/>
        <w:t>konzentrieren und die Stadtteile zu familienfreundlichen Wohnvierteln (selbstverständlich mit N</w:t>
      </w:r>
      <w:r w:rsidR="00EA34DA" w:rsidRPr="000723B8">
        <w:rPr>
          <w:rFonts w:ascii="Verdana" w:hAnsi="Verdana"/>
          <w:sz w:val="24"/>
          <w:szCs w:val="24"/>
        </w:rPr>
        <w:t>ahversorgung) zu entwickeln</w:t>
      </w:r>
      <w:r w:rsidRPr="000723B8">
        <w:rPr>
          <w:rFonts w:ascii="Verdana" w:hAnsi="Verdana"/>
          <w:sz w:val="24"/>
          <w:szCs w:val="24"/>
        </w:rPr>
        <w:t xml:space="preserve">. </w:t>
      </w:r>
    </w:p>
    <w:p w:rsidR="000C5E0D" w:rsidRDefault="002C6C31" w:rsidP="000C5E0D">
      <w:pPr>
        <w:spacing w:line="360" w:lineRule="auto"/>
        <w:ind w:left="1068"/>
        <w:jc w:val="both"/>
        <w:rPr>
          <w:rFonts w:ascii="Verdana" w:hAnsi="Verdana"/>
          <w:sz w:val="24"/>
          <w:szCs w:val="24"/>
        </w:rPr>
      </w:pPr>
      <w:r>
        <w:rPr>
          <w:rFonts w:ascii="Verdana" w:hAnsi="Verdana"/>
          <w:sz w:val="24"/>
          <w:szCs w:val="24"/>
        </w:rPr>
        <w:t>9</w:t>
      </w:r>
      <w:r w:rsidR="000C5E0D">
        <w:rPr>
          <w:rFonts w:ascii="Verdana" w:hAnsi="Verdana"/>
          <w:sz w:val="24"/>
          <w:szCs w:val="24"/>
        </w:rPr>
        <w:t xml:space="preserve">. Angesichts dessen, dass im vorgelegten Entwurf die Darstellung eines – </w:t>
      </w:r>
      <w:r w:rsidR="000908A4">
        <w:rPr>
          <w:rFonts w:ascii="Verdana" w:hAnsi="Verdana"/>
          <w:sz w:val="24"/>
          <w:szCs w:val="24"/>
        </w:rPr>
        <w:t>planmäßig</w:t>
      </w:r>
      <w:r w:rsidR="000C5E0D">
        <w:rPr>
          <w:rFonts w:ascii="Verdana" w:hAnsi="Verdana"/>
          <w:sz w:val="24"/>
          <w:szCs w:val="24"/>
        </w:rPr>
        <w:t xml:space="preserve"> – ausgeglichenen Haushaltes und </w:t>
      </w:r>
      <w:proofErr w:type="gramStart"/>
      <w:r w:rsidR="000C5E0D">
        <w:rPr>
          <w:rFonts w:ascii="Verdana" w:hAnsi="Verdana"/>
          <w:sz w:val="24"/>
          <w:szCs w:val="24"/>
        </w:rPr>
        <w:t>das</w:t>
      </w:r>
      <w:proofErr w:type="gramEnd"/>
      <w:r w:rsidR="000C5E0D">
        <w:rPr>
          <w:rFonts w:ascii="Verdana" w:hAnsi="Verdana"/>
          <w:sz w:val="24"/>
          <w:szCs w:val="24"/>
        </w:rPr>
        <w:t xml:space="preserve"> Verlassen der Haushaltssicherung – planerisch – sicher gestellt werden soll, überrascht es nicht, dass der Kämmerer für die Behandlung isolierter coronabedingter Belastungen kein</w:t>
      </w:r>
      <w:r w:rsidR="00EA34DA">
        <w:rPr>
          <w:rFonts w:ascii="Verdana" w:hAnsi="Verdana"/>
          <w:sz w:val="24"/>
          <w:szCs w:val="24"/>
        </w:rPr>
        <w:t>en</w:t>
      </w:r>
      <w:r w:rsidR="000C5E0D">
        <w:rPr>
          <w:rFonts w:ascii="Verdana" w:hAnsi="Verdana"/>
          <w:sz w:val="24"/>
          <w:szCs w:val="24"/>
        </w:rPr>
        <w:t xml:space="preserve"> Vorschlag macht, sondern diese Entscheidung der Politik </w:t>
      </w:r>
      <w:r w:rsidR="000908A4">
        <w:rPr>
          <w:rFonts w:ascii="Verdana" w:hAnsi="Verdana"/>
          <w:sz w:val="24"/>
          <w:szCs w:val="24"/>
        </w:rPr>
        <w:t>zuweist</w:t>
      </w:r>
      <w:r w:rsidR="00E866CD">
        <w:rPr>
          <w:rFonts w:ascii="Verdana" w:hAnsi="Verdana"/>
          <w:sz w:val="24"/>
          <w:szCs w:val="24"/>
        </w:rPr>
        <w:t xml:space="preserve">. Zitat </w:t>
      </w:r>
      <w:r w:rsidR="0072052B">
        <w:rPr>
          <w:rFonts w:ascii="Verdana" w:hAnsi="Verdana"/>
          <w:sz w:val="24"/>
          <w:szCs w:val="24"/>
        </w:rPr>
        <w:t xml:space="preserve">aus </w:t>
      </w:r>
      <w:r w:rsidR="00E866CD">
        <w:rPr>
          <w:rFonts w:ascii="Verdana" w:hAnsi="Verdana"/>
          <w:sz w:val="24"/>
          <w:szCs w:val="24"/>
        </w:rPr>
        <w:t>der Red</w:t>
      </w:r>
      <w:r w:rsidR="00B732F3">
        <w:rPr>
          <w:rFonts w:ascii="Verdana" w:hAnsi="Verdana"/>
          <w:sz w:val="24"/>
          <w:szCs w:val="24"/>
        </w:rPr>
        <w:t>e des Kämmerers bei der Einbringung</w:t>
      </w:r>
      <w:r w:rsidR="00E866CD">
        <w:rPr>
          <w:rFonts w:ascii="Verdana" w:hAnsi="Verdana"/>
          <w:sz w:val="24"/>
          <w:szCs w:val="24"/>
        </w:rPr>
        <w:t xml:space="preserve"> des Haushaltes am 04. Februar </w:t>
      </w:r>
      <w:r w:rsidR="00EA34DA">
        <w:rPr>
          <w:rFonts w:ascii="Verdana" w:hAnsi="Verdana"/>
          <w:sz w:val="24"/>
          <w:szCs w:val="24"/>
        </w:rPr>
        <w:t>2021 (Langfassung) Seite 7</w:t>
      </w:r>
      <w:r w:rsidR="00E866CD">
        <w:rPr>
          <w:rFonts w:ascii="Verdana" w:hAnsi="Verdana"/>
          <w:sz w:val="24"/>
          <w:szCs w:val="24"/>
        </w:rPr>
        <w:t>:</w:t>
      </w:r>
    </w:p>
    <w:p w:rsidR="00E866CD" w:rsidRDefault="00E866CD" w:rsidP="000908A4">
      <w:pPr>
        <w:spacing w:line="360" w:lineRule="auto"/>
        <w:ind w:left="1068"/>
        <w:jc w:val="both"/>
        <w:rPr>
          <w:rFonts w:ascii="Verdana" w:hAnsi="Verdana"/>
          <w:sz w:val="24"/>
          <w:szCs w:val="24"/>
        </w:rPr>
      </w:pPr>
      <w:r>
        <w:rPr>
          <w:rFonts w:ascii="Verdana" w:hAnsi="Verdana"/>
          <w:sz w:val="24"/>
          <w:szCs w:val="24"/>
        </w:rPr>
        <w:t>„Spätestens im Jahr 2024 werden Sie – nicht zuletzt im Hinblick auf den Grundsatz der intergenerativen Gerechtigkeit – zu entscheiden haben, w</w:t>
      </w:r>
      <w:r w:rsidR="000908A4">
        <w:rPr>
          <w:rFonts w:ascii="Verdana" w:hAnsi="Verdana"/>
          <w:sz w:val="24"/>
          <w:szCs w:val="24"/>
        </w:rPr>
        <w:t>ie die bis dahin angelaufenen I</w:t>
      </w:r>
      <w:r>
        <w:rPr>
          <w:rFonts w:ascii="Verdana" w:hAnsi="Verdana"/>
          <w:sz w:val="24"/>
          <w:szCs w:val="24"/>
        </w:rPr>
        <w:t>solierungsbeträge gebucht werden sollen. Wir werden im Rahmen der Haushaltsberatungen hierüber beraten müssen“</w:t>
      </w:r>
      <w:r w:rsidR="000908A4">
        <w:rPr>
          <w:rFonts w:ascii="Verdana" w:hAnsi="Verdana"/>
          <w:sz w:val="24"/>
          <w:szCs w:val="24"/>
        </w:rPr>
        <w:t>.</w:t>
      </w:r>
    </w:p>
    <w:p w:rsidR="00E866CD" w:rsidRDefault="00E866CD" w:rsidP="000C5E0D">
      <w:pPr>
        <w:spacing w:line="360" w:lineRule="auto"/>
        <w:ind w:left="1068"/>
        <w:jc w:val="both"/>
        <w:rPr>
          <w:rFonts w:ascii="Verdana" w:hAnsi="Verdana"/>
          <w:sz w:val="24"/>
          <w:szCs w:val="24"/>
        </w:rPr>
      </w:pPr>
      <w:r>
        <w:rPr>
          <w:rFonts w:ascii="Verdana" w:hAnsi="Verdana"/>
          <w:sz w:val="24"/>
          <w:szCs w:val="24"/>
        </w:rPr>
        <w:t xml:space="preserve">Wenn die Stadt </w:t>
      </w:r>
      <w:r>
        <w:rPr>
          <w:rFonts w:ascii="Verdana" w:hAnsi="Verdana"/>
          <w:sz w:val="24"/>
          <w:szCs w:val="24"/>
          <w:u w:val="single"/>
        </w:rPr>
        <w:t>jetzt</w:t>
      </w:r>
      <w:r>
        <w:rPr>
          <w:rFonts w:ascii="Verdana" w:hAnsi="Verdana"/>
          <w:sz w:val="24"/>
          <w:szCs w:val="24"/>
        </w:rPr>
        <w:t xml:space="preserve"> (!) von der vom Land geschaffenen Möglichkeit der Bilanzierungshilfe Gebrauch macht und die coronabedingten Belastungen für die Jahre 2022 bis 2024 isoliert (mindestens 120 Mio. Euro) so </w:t>
      </w:r>
      <w:r>
        <w:rPr>
          <w:rFonts w:ascii="Verdana" w:hAnsi="Verdana"/>
          <w:sz w:val="24"/>
          <w:szCs w:val="24"/>
          <w:u w:val="single"/>
        </w:rPr>
        <w:t>muss</w:t>
      </w:r>
      <w:r>
        <w:rPr>
          <w:rFonts w:ascii="Verdana" w:hAnsi="Verdana"/>
          <w:sz w:val="24"/>
          <w:szCs w:val="24"/>
        </w:rPr>
        <w:t xml:space="preserve"> bei der mit dem Haushalt 2021 verbundenen mittelfristigen Finanzplanung eine Entscheidung getroffen werden:</w:t>
      </w:r>
    </w:p>
    <w:p w:rsidR="00E866CD" w:rsidRDefault="00E866CD" w:rsidP="000C5E0D">
      <w:pPr>
        <w:spacing w:line="360" w:lineRule="auto"/>
        <w:ind w:left="1068"/>
        <w:jc w:val="both"/>
        <w:rPr>
          <w:rFonts w:ascii="Verdana" w:hAnsi="Verdana"/>
          <w:sz w:val="24"/>
          <w:szCs w:val="24"/>
        </w:rPr>
      </w:pPr>
    </w:p>
    <w:p w:rsidR="00E866CD" w:rsidRPr="00E52445" w:rsidRDefault="00E866CD" w:rsidP="008E105C">
      <w:pPr>
        <w:pStyle w:val="Listenabsatz"/>
        <w:numPr>
          <w:ilvl w:val="0"/>
          <w:numId w:val="9"/>
        </w:numPr>
        <w:spacing w:line="360" w:lineRule="auto"/>
        <w:jc w:val="both"/>
        <w:rPr>
          <w:rFonts w:ascii="Verdana" w:hAnsi="Verdana"/>
          <w:sz w:val="24"/>
          <w:szCs w:val="24"/>
        </w:rPr>
      </w:pPr>
      <w:r w:rsidRPr="00E52445">
        <w:rPr>
          <w:rFonts w:ascii="Verdana" w:hAnsi="Verdana"/>
          <w:sz w:val="24"/>
          <w:szCs w:val="24"/>
        </w:rPr>
        <w:t xml:space="preserve">Im Sinne des von dem Herrn Kämmerer selber angeführten Grundsatzes der intergenerativen Gerechtigkeit kann es nicht in Betracht kommen, </w:t>
      </w:r>
      <w:r w:rsidRPr="00E52445">
        <w:rPr>
          <w:rFonts w:ascii="Verdana" w:hAnsi="Verdana"/>
          <w:sz w:val="24"/>
          <w:szCs w:val="24"/>
        </w:rPr>
        <w:lastRenderedPageBreak/>
        <w:t xml:space="preserve">von der Möglichkeit </w:t>
      </w:r>
      <w:r w:rsidR="00EA34DA" w:rsidRPr="00E52445">
        <w:rPr>
          <w:rFonts w:ascii="Verdana" w:hAnsi="Verdana"/>
          <w:sz w:val="24"/>
          <w:szCs w:val="24"/>
        </w:rPr>
        <w:t>Gebrauch zu machen, die Isolierungsbeträge in eine</w:t>
      </w:r>
      <w:r w:rsidRPr="00E52445">
        <w:rPr>
          <w:rFonts w:ascii="Verdana" w:hAnsi="Verdana"/>
          <w:sz w:val="24"/>
          <w:szCs w:val="24"/>
        </w:rPr>
        <w:t xml:space="preserve"> ab dem</w:t>
      </w:r>
      <w:r w:rsidR="00E52445">
        <w:rPr>
          <w:rFonts w:ascii="Verdana" w:hAnsi="Verdana"/>
          <w:sz w:val="24"/>
          <w:szCs w:val="24"/>
        </w:rPr>
        <w:t xml:space="preserve"> J</w:t>
      </w:r>
      <w:r w:rsidRPr="00E52445">
        <w:rPr>
          <w:rFonts w:ascii="Verdana" w:hAnsi="Verdana"/>
          <w:sz w:val="24"/>
          <w:szCs w:val="24"/>
        </w:rPr>
        <w:t>ahr 2025 zugelassene</w:t>
      </w:r>
      <w:r w:rsidR="00E52445">
        <w:rPr>
          <w:rFonts w:ascii="Verdana" w:hAnsi="Verdana"/>
          <w:sz w:val="24"/>
          <w:szCs w:val="24"/>
        </w:rPr>
        <w:t>n 50-jährigen A</w:t>
      </w:r>
      <w:r w:rsidRPr="00E52445">
        <w:rPr>
          <w:rFonts w:ascii="Verdana" w:hAnsi="Verdana"/>
          <w:sz w:val="24"/>
          <w:szCs w:val="24"/>
        </w:rPr>
        <w:t>bschreibungssystematik einzustellen.</w:t>
      </w:r>
    </w:p>
    <w:p w:rsidR="00E866CD" w:rsidRDefault="00E866CD" w:rsidP="00E866CD">
      <w:pPr>
        <w:spacing w:line="360" w:lineRule="auto"/>
        <w:ind w:left="1428"/>
        <w:jc w:val="both"/>
        <w:rPr>
          <w:rFonts w:ascii="Verdana" w:hAnsi="Verdana"/>
          <w:sz w:val="24"/>
          <w:szCs w:val="24"/>
        </w:rPr>
      </w:pPr>
    </w:p>
    <w:p w:rsidR="00E866CD" w:rsidRDefault="00E866CD" w:rsidP="00E866CD">
      <w:pPr>
        <w:pStyle w:val="Listenabsatz"/>
        <w:numPr>
          <w:ilvl w:val="0"/>
          <w:numId w:val="9"/>
        </w:numPr>
        <w:spacing w:line="360" w:lineRule="auto"/>
        <w:jc w:val="both"/>
        <w:rPr>
          <w:rFonts w:ascii="Verdana" w:hAnsi="Verdana"/>
          <w:sz w:val="24"/>
          <w:szCs w:val="24"/>
        </w:rPr>
      </w:pPr>
      <w:r>
        <w:rPr>
          <w:rFonts w:ascii="Verdana" w:hAnsi="Verdana"/>
          <w:sz w:val="24"/>
          <w:szCs w:val="24"/>
        </w:rPr>
        <w:t>B</w:t>
      </w:r>
      <w:r w:rsidR="00EA34DA">
        <w:rPr>
          <w:rFonts w:ascii="Verdana" w:hAnsi="Verdana"/>
          <w:sz w:val="24"/>
          <w:szCs w:val="24"/>
        </w:rPr>
        <w:t>ewusstseinsfördernd für eine</w:t>
      </w:r>
      <w:r>
        <w:rPr>
          <w:rFonts w:ascii="Verdana" w:hAnsi="Verdana"/>
          <w:sz w:val="24"/>
          <w:szCs w:val="24"/>
        </w:rPr>
        <w:t xml:space="preserve"> Schwerpunkt</w:t>
      </w:r>
      <w:r w:rsidR="00EA34DA">
        <w:rPr>
          <w:rFonts w:ascii="Verdana" w:hAnsi="Verdana"/>
          <w:sz w:val="24"/>
          <w:szCs w:val="24"/>
        </w:rPr>
        <w:t>e</w:t>
      </w:r>
      <w:r>
        <w:rPr>
          <w:rFonts w:ascii="Verdana" w:hAnsi="Verdana"/>
          <w:sz w:val="24"/>
          <w:szCs w:val="24"/>
        </w:rPr>
        <w:t xml:space="preserve"> setzende </w:t>
      </w:r>
      <w:r w:rsidR="00EA34DA">
        <w:rPr>
          <w:rFonts w:ascii="Verdana" w:hAnsi="Verdana"/>
          <w:sz w:val="24"/>
          <w:szCs w:val="24"/>
        </w:rPr>
        <w:t xml:space="preserve">und sparsame </w:t>
      </w:r>
      <w:r>
        <w:rPr>
          <w:rFonts w:ascii="Verdana" w:hAnsi="Verdana"/>
          <w:sz w:val="24"/>
          <w:szCs w:val="24"/>
        </w:rPr>
        <w:t>Ha</w:t>
      </w:r>
      <w:r w:rsidR="000549B1">
        <w:rPr>
          <w:rFonts w:ascii="Verdana" w:hAnsi="Verdana"/>
          <w:sz w:val="24"/>
          <w:szCs w:val="24"/>
        </w:rPr>
        <w:t>ushaltswirtschaft, die auf Nice-</w:t>
      </w:r>
      <w:proofErr w:type="spellStart"/>
      <w:r w:rsidR="000549B1">
        <w:rPr>
          <w:rFonts w:ascii="Verdana" w:hAnsi="Verdana"/>
          <w:sz w:val="24"/>
          <w:szCs w:val="24"/>
        </w:rPr>
        <w:t>to</w:t>
      </w:r>
      <w:proofErr w:type="spellEnd"/>
      <w:r w:rsidR="000549B1">
        <w:rPr>
          <w:rFonts w:ascii="Verdana" w:hAnsi="Verdana"/>
          <w:sz w:val="24"/>
          <w:szCs w:val="24"/>
        </w:rPr>
        <w:t>-</w:t>
      </w:r>
      <w:proofErr w:type="spellStart"/>
      <w:r>
        <w:rPr>
          <w:rFonts w:ascii="Verdana" w:hAnsi="Verdana"/>
          <w:sz w:val="24"/>
          <w:szCs w:val="24"/>
        </w:rPr>
        <w:t>ha</w:t>
      </w:r>
      <w:r w:rsidR="00EA34DA">
        <w:rPr>
          <w:rFonts w:ascii="Verdana" w:hAnsi="Verdana"/>
          <w:sz w:val="24"/>
          <w:szCs w:val="24"/>
        </w:rPr>
        <w:t>ve</w:t>
      </w:r>
      <w:proofErr w:type="spellEnd"/>
      <w:r w:rsidR="00EA34DA">
        <w:rPr>
          <w:rFonts w:ascii="Verdana" w:hAnsi="Verdana"/>
          <w:sz w:val="24"/>
          <w:szCs w:val="24"/>
        </w:rPr>
        <w:t xml:space="preserve"> Projekte bis 2024 verzichtet</w:t>
      </w:r>
      <w:r>
        <w:rPr>
          <w:rFonts w:ascii="Verdana" w:hAnsi="Verdana"/>
          <w:sz w:val="24"/>
          <w:szCs w:val="24"/>
        </w:rPr>
        <w:t xml:space="preserve">, wäre es, im Jahresabschluss 2024 die bis dahin </w:t>
      </w:r>
      <w:r w:rsidR="000908A4">
        <w:rPr>
          <w:rFonts w:ascii="Verdana" w:hAnsi="Verdana"/>
          <w:sz w:val="24"/>
          <w:szCs w:val="24"/>
        </w:rPr>
        <w:t>angewachsenen</w:t>
      </w:r>
      <w:r w:rsidR="00E52445">
        <w:rPr>
          <w:rFonts w:ascii="Verdana" w:hAnsi="Verdana"/>
          <w:sz w:val="24"/>
          <w:szCs w:val="24"/>
        </w:rPr>
        <w:t xml:space="preserve"> </w:t>
      </w:r>
      <w:r>
        <w:rPr>
          <w:rFonts w:ascii="Verdana" w:hAnsi="Verdana"/>
          <w:sz w:val="24"/>
          <w:szCs w:val="24"/>
        </w:rPr>
        <w:t xml:space="preserve">Isolierungsbeträge </w:t>
      </w:r>
      <w:r w:rsidR="00EA34DA">
        <w:rPr>
          <w:rFonts w:ascii="Verdana" w:hAnsi="Verdana"/>
          <w:sz w:val="24"/>
          <w:szCs w:val="24"/>
        </w:rPr>
        <w:t>eigenkapitalmindernd</w:t>
      </w:r>
      <w:r>
        <w:rPr>
          <w:rFonts w:ascii="Verdana" w:hAnsi="Verdana"/>
          <w:sz w:val="24"/>
          <w:szCs w:val="24"/>
        </w:rPr>
        <w:t xml:space="preserve"> einzubuchen, unter Verrechnung gegen die Ausgleichsrücklage und die Allgemeine Rücklage. Dabei könnte durch eine bis 2024 nach Einschätzung des Kämmerers voraussichtlich „angesparte“ Ausgleichsrücklage in Höhe von 75</w:t>
      </w:r>
      <w:r w:rsidR="006F3149">
        <w:rPr>
          <w:rFonts w:ascii="Verdana" w:hAnsi="Verdana"/>
          <w:sz w:val="24"/>
          <w:szCs w:val="24"/>
        </w:rPr>
        <w:t>,</w:t>
      </w:r>
      <w:r>
        <w:rPr>
          <w:rFonts w:ascii="Verdana" w:hAnsi="Verdana"/>
          <w:sz w:val="24"/>
          <w:szCs w:val="24"/>
        </w:rPr>
        <w:t xml:space="preserve">3 Mio. Euro ein Großteil der </w:t>
      </w:r>
      <w:r w:rsidR="000908A4">
        <w:rPr>
          <w:rFonts w:ascii="Verdana" w:hAnsi="Verdana"/>
          <w:sz w:val="24"/>
          <w:szCs w:val="24"/>
        </w:rPr>
        <w:t>coronabedingten</w:t>
      </w:r>
      <w:r>
        <w:rPr>
          <w:rFonts w:ascii="Verdana" w:hAnsi="Verdana"/>
          <w:sz w:val="24"/>
          <w:szCs w:val="24"/>
        </w:rPr>
        <w:t xml:space="preserve"> Belastungen abgefangen werden.</w:t>
      </w:r>
    </w:p>
    <w:p w:rsidR="00E866CD" w:rsidRDefault="00E866CD" w:rsidP="00E866CD">
      <w:pPr>
        <w:pStyle w:val="Listenabsatz"/>
        <w:spacing w:line="360" w:lineRule="auto"/>
        <w:ind w:left="1788"/>
        <w:jc w:val="both"/>
        <w:rPr>
          <w:rFonts w:ascii="Verdana" w:hAnsi="Verdana"/>
          <w:sz w:val="24"/>
          <w:szCs w:val="24"/>
        </w:rPr>
      </w:pPr>
    </w:p>
    <w:p w:rsidR="00EA34DA" w:rsidRDefault="00E866CD" w:rsidP="00EA34DA">
      <w:pPr>
        <w:pStyle w:val="Listenabsatz"/>
        <w:spacing w:line="360" w:lineRule="auto"/>
        <w:ind w:left="1788"/>
        <w:jc w:val="both"/>
        <w:rPr>
          <w:rFonts w:ascii="Verdana" w:hAnsi="Verdana"/>
          <w:sz w:val="24"/>
          <w:szCs w:val="24"/>
        </w:rPr>
      </w:pPr>
      <w:r>
        <w:rPr>
          <w:rFonts w:ascii="Verdana" w:hAnsi="Verdana"/>
          <w:sz w:val="24"/>
          <w:szCs w:val="24"/>
        </w:rPr>
        <w:t>Mit anderen Worten: Die Krefelder Bürger</w:t>
      </w:r>
      <w:r w:rsidR="000549B1">
        <w:rPr>
          <w:rFonts w:ascii="Verdana" w:hAnsi="Verdana"/>
          <w:sz w:val="24"/>
          <w:szCs w:val="24"/>
        </w:rPr>
        <w:t xml:space="preserve"> und Unternehmen, </w:t>
      </w:r>
      <w:r>
        <w:rPr>
          <w:rFonts w:ascii="Verdana" w:hAnsi="Verdana"/>
          <w:sz w:val="24"/>
          <w:szCs w:val="24"/>
        </w:rPr>
        <w:t>insbesondere diejenigen, die durch Entrichtung von Steuern, Gebühren und Abgaben zu den Erträgen der Stadt beitragen, müssen wissen, wo die Reise letzten Endes hingehen soll, wenn die Stadt von der Bilanzierungshilfe Gebrauch macht.</w:t>
      </w:r>
      <w:r w:rsidR="000549B1">
        <w:rPr>
          <w:rFonts w:ascii="Verdana" w:hAnsi="Verdana"/>
          <w:sz w:val="24"/>
          <w:szCs w:val="24"/>
        </w:rPr>
        <w:t xml:space="preserve"> Ziel muss es sein, die pandemiebedingte Neuverschuldung nicht durch die Bilanzierungshilfe zu verdrängen, sondern zu begrenzen.</w:t>
      </w:r>
    </w:p>
    <w:p w:rsidR="006F3149" w:rsidRDefault="006F3149" w:rsidP="00EA34DA">
      <w:pPr>
        <w:spacing w:line="360" w:lineRule="auto"/>
        <w:ind w:left="1416"/>
        <w:jc w:val="both"/>
        <w:rPr>
          <w:rFonts w:ascii="Verdana" w:hAnsi="Verdana"/>
          <w:sz w:val="24"/>
          <w:szCs w:val="24"/>
        </w:rPr>
      </w:pPr>
    </w:p>
    <w:p w:rsidR="00E866CD" w:rsidRPr="00EA34DA" w:rsidRDefault="002C6C31" w:rsidP="00EA34DA">
      <w:pPr>
        <w:spacing w:line="360" w:lineRule="auto"/>
        <w:ind w:left="1416"/>
        <w:jc w:val="both"/>
        <w:rPr>
          <w:rFonts w:ascii="Verdana" w:hAnsi="Verdana"/>
          <w:sz w:val="24"/>
          <w:szCs w:val="24"/>
        </w:rPr>
      </w:pPr>
      <w:r>
        <w:rPr>
          <w:rFonts w:ascii="Verdana" w:hAnsi="Verdana"/>
          <w:sz w:val="24"/>
          <w:szCs w:val="24"/>
        </w:rPr>
        <w:lastRenderedPageBreak/>
        <w:t>10</w:t>
      </w:r>
      <w:r w:rsidR="00EA34DA">
        <w:rPr>
          <w:rFonts w:ascii="Verdana" w:hAnsi="Verdana"/>
          <w:sz w:val="24"/>
          <w:szCs w:val="24"/>
        </w:rPr>
        <w:t xml:space="preserve">. </w:t>
      </w:r>
      <w:r w:rsidR="00E866CD" w:rsidRPr="00EA34DA">
        <w:rPr>
          <w:rFonts w:ascii="Verdana" w:hAnsi="Verdana"/>
          <w:sz w:val="24"/>
          <w:szCs w:val="24"/>
        </w:rPr>
        <w:t>Basis des Haushaltsplanentwurfes 2021 ist</w:t>
      </w:r>
      <w:r w:rsidR="000549B1">
        <w:rPr>
          <w:rFonts w:ascii="Verdana" w:hAnsi="Verdana"/>
          <w:sz w:val="24"/>
          <w:szCs w:val="24"/>
        </w:rPr>
        <w:t xml:space="preserve"> allerdings</w:t>
      </w:r>
      <w:r w:rsidR="00E866CD" w:rsidRPr="00EA34DA">
        <w:rPr>
          <w:rFonts w:ascii="Verdana" w:hAnsi="Verdana"/>
          <w:sz w:val="24"/>
          <w:szCs w:val="24"/>
        </w:rPr>
        <w:t xml:space="preserve"> die </w:t>
      </w:r>
      <w:r w:rsidR="00EA34DA">
        <w:rPr>
          <w:rFonts w:ascii="Verdana" w:hAnsi="Verdana"/>
          <w:sz w:val="24"/>
          <w:szCs w:val="24"/>
        </w:rPr>
        <w:t xml:space="preserve">mittelfristige </w:t>
      </w:r>
      <w:r w:rsidR="00E866CD" w:rsidRPr="00EA34DA">
        <w:rPr>
          <w:rFonts w:ascii="Verdana" w:hAnsi="Verdana"/>
          <w:sz w:val="24"/>
          <w:szCs w:val="24"/>
        </w:rPr>
        <w:t xml:space="preserve">Planung für die Jahre 2021 bis 2023 </w:t>
      </w:r>
      <w:r w:rsidR="000908A4" w:rsidRPr="00EA34DA">
        <w:rPr>
          <w:rFonts w:ascii="Verdana" w:hAnsi="Verdana"/>
          <w:sz w:val="24"/>
          <w:szCs w:val="24"/>
        </w:rPr>
        <w:t>in dem am 12. Dezember 2019 verabschiedeten Haushaltsplan 2020. Diese mittelfristige Haushaltsplanu</w:t>
      </w:r>
      <w:r w:rsidR="00EA34DA">
        <w:rPr>
          <w:rFonts w:ascii="Verdana" w:hAnsi="Verdana"/>
          <w:sz w:val="24"/>
          <w:szCs w:val="24"/>
        </w:rPr>
        <w:t>ng ist</w:t>
      </w:r>
      <w:r w:rsidR="000908A4" w:rsidRPr="00EA34DA">
        <w:rPr>
          <w:rFonts w:ascii="Verdana" w:hAnsi="Verdana"/>
          <w:sz w:val="24"/>
          <w:szCs w:val="24"/>
        </w:rPr>
        <w:t xml:space="preserve"> – pandemieb</w:t>
      </w:r>
      <w:r w:rsidR="00EA34DA">
        <w:rPr>
          <w:rFonts w:ascii="Verdana" w:hAnsi="Verdana"/>
          <w:sz w:val="24"/>
          <w:szCs w:val="24"/>
        </w:rPr>
        <w:t>edingt – nicht mehr aktuell. Eine realistische</w:t>
      </w:r>
      <w:r w:rsidR="000908A4" w:rsidRPr="00EA34DA">
        <w:rPr>
          <w:rFonts w:ascii="Verdana" w:hAnsi="Verdana"/>
          <w:sz w:val="24"/>
          <w:szCs w:val="24"/>
        </w:rPr>
        <w:t xml:space="preserve"> mittelfristige Haushaltplanung für die Jahre 2022, 2023 und 2024 sollte deshalb von der Verwaltung vorgelegt werden, damit sie anschließend von der Politik beraten und zusammen mit dem Haushaltsplan 2021 am 06. Mai 2021 beschlossen werden kann.</w:t>
      </w:r>
    </w:p>
    <w:p w:rsidR="000908A4" w:rsidRDefault="000908A4" w:rsidP="00E866CD">
      <w:pPr>
        <w:spacing w:line="360" w:lineRule="auto"/>
        <w:jc w:val="both"/>
        <w:rPr>
          <w:rFonts w:ascii="Verdana" w:hAnsi="Verdana"/>
          <w:sz w:val="24"/>
          <w:szCs w:val="24"/>
        </w:rPr>
      </w:pPr>
    </w:p>
    <w:p w:rsidR="000908A4" w:rsidRDefault="000908A4" w:rsidP="00E866CD">
      <w:pPr>
        <w:spacing w:line="360" w:lineRule="auto"/>
        <w:jc w:val="both"/>
        <w:rPr>
          <w:rFonts w:ascii="Verdana" w:hAnsi="Verdana"/>
          <w:sz w:val="24"/>
          <w:szCs w:val="24"/>
        </w:rPr>
      </w:pPr>
      <w:r>
        <w:rPr>
          <w:rFonts w:ascii="Verdana" w:hAnsi="Verdana"/>
          <w:sz w:val="24"/>
          <w:szCs w:val="24"/>
        </w:rPr>
        <w:t>gez. Joachim C. Heitmann</w:t>
      </w:r>
    </w:p>
    <w:p w:rsidR="000908A4" w:rsidRDefault="000908A4" w:rsidP="00E866CD">
      <w:pPr>
        <w:spacing w:line="360" w:lineRule="auto"/>
        <w:jc w:val="both"/>
        <w:rPr>
          <w:rFonts w:ascii="Verdana" w:hAnsi="Verdana"/>
          <w:sz w:val="24"/>
          <w:szCs w:val="24"/>
        </w:rPr>
      </w:pPr>
      <w:r>
        <w:rPr>
          <w:rFonts w:ascii="Verdana" w:hAnsi="Verdana"/>
          <w:sz w:val="24"/>
          <w:szCs w:val="24"/>
        </w:rPr>
        <w:t>Fraktionsvorsitzender</w:t>
      </w:r>
      <w:r w:rsidR="002C6C31">
        <w:rPr>
          <w:rFonts w:ascii="Verdana" w:hAnsi="Verdana"/>
          <w:sz w:val="24"/>
          <w:szCs w:val="24"/>
        </w:rPr>
        <w:t xml:space="preserve"> (V.i.S.d.P.)</w:t>
      </w:r>
    </w:p>
    <w:p w:rsidR="000908A4" w:rsidRDefault="000908A4" w:rsidP="00E866CD">
      <w:pPr>
        <w:spacing w:line="360" w:lineRule="auto"/>
        <w:jc w:val="both"/>
        <w:rPr>
          <w:rFonts w:ascii="Verdana" w:hAnsi="Verdana"/>
          <w:sz w:val="24"/>
          <w:szCs w:val="24"/>
        </w:rPr>
      </w:pPr>
    </w:p>
    <w:p w:rsidR="000908A4" w:rsidRPr="00E866CD" w:rsidRDefault="000908A4" w:rsidP="00E866CD">
      <w:pPr>
        <w:spacing w:line="360" w:lineRule="auto"/>
        <w:jc w:val="both"/>
        <w:rPr>
          <w:rFonts w:ascii="Verdana" w:hAnsi="Verdana"/>
          <w:sz w:val="24"/>
          <w:szCs w:val="24"/>
        </w:rPr>
      </w:pPr>
      <w:r>
        <w:rPr>
          <w:rFonts w:ascii="Verdana" w:hAnsi="Verdana"/>
          <w:sz w:val="24"/>
          <w:szCs w:val="24"/>
        </w:rPr>
        <w:t>Krefeld, Februar 2021</w:t>
      </w:r>
    </w:p>
    <w:sectPr w:rsidR="000908A4" w:rsidRPr="00E866CD" w:rsidSect="000723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E20" w:rsidRDefault="001F7E20" w:rsidP="001F7E20">
      <w:pPr>
        <w:spacing w:after="0" w:line="240" w:lineRule="auto"/>
      </w:pPr>
      <w:r>
        <w:separator/>
      </w:r>
    </w:p>
  </w:endnote>
  <w:endnote w:type="continuationSeparator" w:id="0">
    <w:p w:rsidR="001F7E20" w:rsidRDefault="001F7E20" w:rsidP="001F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20" w:rsidRDefault="001F7E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979557"/>
      <w:docPartObj>
        <w:docPartGallery w:val="Page Numbers (Bottom of Page)"/>
        <w:docPartUnique/>
      </w:docPartObj>
    </w:sdtPr>
    <w:sdtEndPr/>
    <w:sdtContent>
      <w:p w:rsidR="001F7E20" w:rsidRDefault="001F7E20">
        <w:pPr>
          <w:pStyle w:val="Fuzeile"/>
          <w:jc w:val="right"/>
        </w:pPr>
        <w:r>
          <w:fldChar w:fldCharType="begin"/>
        </w:r>
        <w:r>
          <w:instrText>PAGE   \* MERGEFORMAT</w:instrText>
        </w:r>
        <w:r>
          <w:fldChar w:fldCharType="separate"/>
        </w:r>
        <w:r w:rsidR="00A629EB">
          <w:rPr>
            <w:noProof/>
          </w:rPr>
          <w:t>6</w:t>
        </w:r>
        <w:r>
          <w:fldChar w:fldCharType="end"/>
        </w:r>
      </w:p>
    </w:sdtContent>
  </w:sdt>
  <w:p w:rsidR="001F7E20" w:rsidRDefault="001F7E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20" w:rsidRDefault="001F7E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E20" w:rsidRDefault="001F7E20" w:rsidP="001F7E20">
      <w:pPr>
        <w:spacing w:after="0" w:line="240" w:lineRule="auto"/>
      </w:pPr>
      <w:r>
        <w:separator/>
      </w:r>
    </w:p>
  </w:footnote>
  <w:footnote w:type="continuationSeparator" w:id="0">
    <w:p w:rsidR="001F7E20" w:rsidRDefault="001F7E20" w:rsidP="001F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20" w:rsidRDefault="001F7E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20" w:rsidRDefault="001F7E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20" w:rsidRDefault="001F7E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8A2"/>
    <w:multiLevelType w:val="hybridMultilevel"/>
    <w:tmpl w:val="37B20A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360889"/>
    <w:multiLevelType w:val="hybridMultilevel"/>
    <w:tmpl w:val="1B946A24"/>
    <w:lvl w:ilvl="0" w:tplc="2AA8FBE0">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8B6207"/>
    <w:multiLevelType w:val="hybridMultilevel"/>
    <w:tmpl w:val="1CC033B4"/>
    <w:lvl w:ilvl="0" w:tplc="2AA8FBE0">
      <w:start w:val="1"/>
      <w:numFmt w:val="bullet"/>
      <w:lvlText w:val="-"/>
      <w:lvlJc w:val="left"/>
      <w:pPr>
        <w:ind w:left="1788" w:hanging="360"/>
      </w:pPr>
      <w:rPr>
        <w:rFonts w:ascii="Verdana" w:hAnsi="Verdana"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3" w15:restartNumberingAfterBreak="0">
    <w:nsid w:val="2F2273F4"/>
    <w:multiLevelType w:val="hybridMultilevel"/>
    <w:tmpl w:val="64544A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86745B"/>
    <w:multiLevelType w:val="hybridMultilevel"/>
    <w:tmpl w:val="4BBE24D0"/>
    <w:lvl w:ilvl="0" w:tplc="2AA8FBE0">
      <w:start w:val="1"/>
      <w:numFmt w:val="bullet"/>
      <w:lvlText w:val="-"/>
      <w:lvlJc w:val="left"/>
      <w:pPr>
        <w:ind w:left="1440" w:hanging="360"/>
      </w:pPr>
      <w:rPr>
        <w:rFonts w:ascii="Verdana" w:hAnsi="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F425265"/>
    <w:multiLevelType w:val="hybridMultilevel"/>
    <w:tmpl w:val="73867C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DB34FB"/>
    <w:multiLevelType w:val="hybridMultilevel"/>
    <w:tmpl w:val="83781284"/>
    <w:lvl w:ilvl="0" w:tplc="2AA8FBE0">
      <w:start w:val="1"/>
      <w:numFmt w:val="bullet"/>
      <w:lvlText w:val="-"/>
      <w:lvlJc w:val="left"/>
      <w:pPr>
        <w:ind w:left="1428" w:hanging="360"/>
      </w:pPr>
      <w:rPr>
        <w:rFonts w:ascii="Verdana" w:hAnsi="Verdana"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6A1856B7"/>
    <w:multiLevelType w:val="hybridMultilevel"/>
    <w:tmpl w:val="02247E98"/>
    <w:lvl w:ilvl="0" w:tplc="2AA8FBE0">
      <w:start w:val="1"/>
      <w:numFmt w:val="bullet"/>
      <w:lvlText w:val="-"/>
      <w:lvlJc w:val="left"/>
      <w:pPr>
        <w:ind w:left="1440" w:hanging="360"/>
      </w:pPr>
      <w:rPr>
        <w:rFonts w:ascii="Verdana" w:hAnsi="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6B0328CD"/>
    <w:multiLevelType w:val="hybridMultilevel"/>
    <w:tmpl w:val="6FD24F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A74724"/>
    <w:multiLevelType w:val="hybridMultilevel"/>
    <w:tmpl w:val="E7DC63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9"/>
  </w:num>
  <w:num w:numId="5">
    <w:abstractNumId w:val="7"/>
  </w:num>
  <w:num w:numId="6">
    <w:abstractNumId w:val="5"/>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C3"/>
    <w:rsid w:val="000549B1"/>
    <w:rsid w:val="000723B8"/>
    <w:rsid w:val="000908A4"/>
    <w:rsid w:val="000C5E0D"/>
    <w:rsid w:val="001D6645"/>
    <w:rsid w:val="001F7E20"/>
    <w:rsid w:val="00236524"/>
    <w:rsid w:val="002A48C2"/>
    <w:rsid w:val="002B31B2"/>
    <w:rsid w:val="002C6C31"/>
    <w:rsid w:val="003B7DB2"/>
    <w:rsid w:val="0041749A"/>
    <w:rsid w:val="0047681E"/>
    <w:rsid w:val="00477B65"/>
    <w:rsid w:val="006F3149"/>
    <w:rsid w:val="0072052B"/>
    <w:rsid w:val="007B2750"/>
    <w:rsid w:val="00822CB9"/>
    <w:rsid w:val="00920593"/>
    <w:rsid w:val="00A33FD6"/>
    <w:rsid w:val="00A629EB"/>
    <w:rsid w:val="00AD4200"/>
    <w:rsid w:val="00AD7E35"/>
    <w:rsid w:val="00B732F3"/>
    <w:rsid w:val="00BC71DD"/>
    <w:rsid w:val="00C938C3"/>
    <w:rsid w:val="00D86BE2"/>
    <w:rsid w:val="00E52445"/>
    <w:rsid w:val="00E866CD"/>
    <w:rsid w:val="00EA34DA"/>
    <w:rsid w:val="00EF3CCB"/>
    <w:rsid w:val="00FA7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9652"/>
  <w15:chartTrackingRefBased/>
  <w15:docId w15:val="{E331EC36-0866-4639-AA86-A382CDF8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38C3"/>
    <w:pPr>
      <w:ind w:left="720"/>
      <w:contextualSpacing/>
    </w:pPr>
  </w:style>
  <w:style w:type="paragraph" w:styleId="Sprechblasentext">
    <w:name w:val="Balloon Text"/>
    <w:basedOn w:val="Standard"/>
    <w:link w:val="SprechblasentextZchn"/>
    <w:uiPriority w:val="99"/>
    <w:semiHidden/>
    <w:unhideWhenUsed/>
    <w:rsid w:val="009205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0593"/>
    <w:rPr>
      <w:rFonts w:ascii="Segoe UI" w:hAnsi="Segoe UI" w:cs="Segoe UI"/>
      <w:sz w:val="18"/>
      <w:szCs w:val="18"/>
    </w:rPr>
  </w:style>
  <w:style w:type="paragraph" w:styleId="Kopfzeile">
    <w:name w:val="header"/>
    <w:basedOn w:val="Standard"/>
    <w:link w:val="KopfzeileZchn"/>
    <w:uiPriority w:val="99"/>
    <w:unhideWhenUsed/>
    <w:rsid w:val="001F7E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E20"/>
  </w:style>
  <w:style w:type="paragraph" w:styleId="Fuzeile">
    <w:name w:val="footer"/>
    <w:basedOn w:val="Standard"/>
    <w:link w:val="FuzeileZchn"/>
    <w:uiPriority w:val="99"/>
    <w:unhideWhenUsed/>
    <w:rsid w:val="001F7E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D014-90D1-4723-B77E-37CD7874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1635</Words>
  <Characters>10305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Jandeck, Meike</cp:lastModifiedBy>
  <cp:revision>8</cp:revision>
  <cp:lastPrinted>2021-02-22T09:03:00Z</cp:lastPrinted>
  <dcterms:created xsi:type="dcterms:W3CDTF">2021-02-18T15:52:00Z</dcterms:created>
  <dcterms:modified xsi:type="dcterms:W3CDTF">2021-02-22T09:09:00Z</dcterms:modified>
</cp:coreProperties>
</file>